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BBB" w:rsidRPr="00D06D04" w:rsidRDefault="00295BBB" w:rsidP="00295BBB">
      <w:pPr>
        <w:rPr>
          <w:rFonts w:ascii="Times New Roman" w:eastAsia="Calibri" w:hAnsi="Times New Roman" w:cs="Times New Roman"/>
          <w:b/>
          <w:color w:val="000000"/>
          <w:sz w:val="24"/>
          <w:szCs w:val="24"/>
        </w:rPr>
      </w:pPr>
      <w:r>
        <w:rPr>
          <w:rFonts w:ascii="Times New Roman" w:eastAsiaTheme="majorEastAsia" w:hAnsi="Times New Roman" w:cs="Times New Roman"/>
          <w:noProof/>
          <w:color w:val="1F497D" w:themeColor="text2"/>
          <w:spacing w:val="5"/>
          <w:kern w:val="28"/>
          <w:sz w:val="96"/>
          <w:szCs w:val="56"/>
        </w:rPr>
        <w:drawing>
          <wp:anchor distT="0" distB="0" distL="114300" distR="114300" simplePos="0" relativeHeight="251659264" behindDoc="0" locked="0" layoutInCell="1" allowOverlap="1" wp14:anchorId="05D374FF" wp14:editId="1C3C074C">
            <wp:simplePos x="0" y="0"/>
            <wp:positionH relativeFrom="column">
              <wp:posOffset>2514600</wp:posOffset>
            </wp:positionH>
            <wp:positionV relativeFrom="paragraph">
              <wp:posOffset>-114300</wp:posOffset>
            </wp:positionV>
            <wp:extent cx="1390650" cy="1390650"/>
            <wp:effectExtent l="0" t="0" r="6350" b="6350"/>
            <wp:wrapThrough wrapText="bothSides">
              <wp:wrapPolygon edited="0">
                <wp:start x="0" y="0"/>
                <wp:lineTo x="0" y="21304"/>
                <wp:lineTo x="21304" y="21304"/>
                <wp:lineTo x="21304"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hodes-university.png"/>
                    <pic:cNvPicPr/>
                  </pic:nvPicPr>
                  <pic:blipFill>
                    <a:blip r:embed="rId8">
                      <a:extLst>
                        <a:ext uri="{28A0092B-C50C-407E-A947-70E740481C1C}">
                          <a14:useLocalDpi xmlns:a14="http://schemas.microsoft.com/office/drawing/2010/main" val="0"/>
                        </a:ext>
                      </a:extLst>
                    </a:blip>
                    <a:stretch>
                      <a:fillRect/>
                    </a:stretch>
                  </pic:blipFill>
                  <pic:spPr>
                    <a:xfrm>
                      <a:off x="0" y="0"/>
                      <a:ext cx="1390650" cy="1390650"/>
                    </a:xfrm>
                    <a:prstGeom prst="rect">
                      <a:avLst/>
                    </a:prstGeom>
                  </pic:spPr>
                </pic:pic>
              </a:graphicData>
            </a:graphic>
            <wp14:sizeRelH relativeFrom="margin">
              <wp14:pctWidth>0</wp14:pctWidth>
            </wp14:sizeRelH>
            <wp14:sizeRelV relativeFrom="margin">
              <wp14:pctHeight>0</wp14:pctHeight>
            </wp14:sizeRelV>
          </wp:anchor>
        </w:drawing>
      </w:r>
    </w:p>
    <w:p w:rsidR="00295BBB" w:rsidRDefault="00295BBB" w:rsidP="00295BBB">
      <w:pPr>
        <w:pBdr>
          <w:top w:val="nil"/>
          <w:left w:val="nil"/>
          <w:bottom w:val="nil"/>
          <w:right w:val="nil"/>
          <w:between w:val="nil"/>
        </w:pBdr>
        <w:spacing w:after="0" w:line="240" w:lineRule="auto"/>
        <w:rPr>
          <w:rFonts w:ascii="Times New Roman" w:eastAsia="Calibri" w:hAnsi="Times New Roman" w:cs="Times New Roman"/>
          <w:i/>
          <w:color w:val="000000"/>
          <w:sz w:val="24"/>
          <w:szCs w:val="24"/>
        </w:rPr>
      </w:pPr>
    </w:p>
    <w:p w:rsidR="00295BBB" w:rsidRDefault="00295BBB" w:rsidP="00295BBB">
      <w:pPr>
        <w:pBdr>
          <w:top w:val="nil"/>
          <w:left w:val="nil"/>
          <w:bottom w:val="nil"/>
          <w:right w:val="nil"/>
          <w:between w:val="nil"/>
        </w:pBdr>
        <w:spacing w:after="0" w:line="240" w:lineRule="auto"/>
        <w:jc w:val="center"/>
        <w:rPr>
          <w:rFonts w:ascii="Times New Roman" w:eastAsia="Calibri" w:hAnsi="Times New Roman" w:cs="Times New Roman"/>
          <w:i/>
          <w:color w:val="000000"/>
          <w:sz w:val="24"/>
          <w:szCs w:val="24"/>
        </w:rPr>
      </w:pPr>
    </w:p>
    <w:p w:rsidR="00295BBB" w:rsidRDefault="00295BBB" w:rsidP="00295BBB">
      <w:pPr>
        <w:pBdr>
          <w:top w:val="nil"/>
          <w:left w:val="nil"/>
          <w:bottom w:val="nil"/>
          <w:right w:val="nil"/>
          <w:between w:val="nil"/>
        </w:pBdr>
        <w:spacing w:after="0" w:line="240" w:lineRule="auto"/>
        <w:jc w:val="center"/>
        <w:rPr>
          <w:rFonts w:ascii="Times New Roman" w:eastAsia="Calibri" w:hAnsi="Times New Roman" w:cs="Times New Roman"/>
          <w:i/>
          <w:color w:val="000000"/>
          <w:sz w:val="24"/>
          <w:szCs w:val="24"/>
        </w:rPr>
      </w:pPr>
    </w:p>
    <w:p w:rsidR="00295BBB" w:rsidRDefault="00295BBB" w:rsidP="00295BBB">
      <w:pPr>
        <w:pBdr>
          <w:top w:val="nil"/>
          <w:left w:val="nil"/>
          <w:bottom w:val="nil"/>
          <w:right w:val="nil"/>
          <w:between w:val="nil"/>
        </w:pBdr>
        <w:spacing w:after="0" w:line="240" w:lineRule="auto"/>
        <w:jc w:val="center"/>
        <w:rPr>
          <w:rFonts w:ascii="Times New Roman" w:eastAsia="Calibri" w:hAnsi="Times New Roman" w:cs="Times New Roman"/>
          <w:i/>
          <w:color w:val="000000"/>
          <w:sz w:val="24"/>
          <w:szCs w:val="24"/>
        </w:rPr>
      </w:pPr>
    </w:p>
    <w:p w:rsidR="00295BBB" w:rsidRDefault="00295BBB" w:rsidP="00295BBB">
      <w:pPr>
        <w:pBdr>
          <w:top w:val="nil"/>
          <w:left w:val="nil"/>
          <w:bottom w:val="nil"/>
          <w:right w:val="nil"/>
          <w:between w:val="nil"/>
        </w:pBdr>
        <w:spacing w:after="0" w:line="240" w:lineRule="auto"/>
        <w:rPr>
          <w:rFonts w:ascii="Times New Roman" w:eastAsia="Calibri" w:hAnsi="Times New Roman" w:cs="Times New Roman"/>
          <w:b/>
          <w:i/>
          <w:color w:val="000000"/>
          <w:sz w:val="32"/>
          <w:szCs w:val="32"/>
        </w:rPr>
      </w:pPr>
    </w:p>
    <w:p w:rsidR="00295BBB" w:rsidRDefault="00295BBB" w:rsidP="00295BBB">
      <w:pPr>
        <w:pBdr>
          <w:top w:val="nil"/>
          <w:left w:val="nil"/>
          <w:bottom w:val="nil"/>
          <w:right w:val="nil"/>
          <w:between w:val="nil"/>
        </w:pBdr>
        <w:spacing w:after="0" w:line="240" w:lineRule="auto"/>
        <w:jc w:val="center"/>
        <w:rPr>
          <w:rFonts w:ascii="Times New Roman" w:eastAsia="Calibri" w:hAnsi="Times New Roman" w:cs="Times New Roman"/>
          <w:i/>
          <w:color w:val="000000"/>
          <w:sz w:val="24"/>
          <w:szCs w:val="24"/>
        </w:rPr>
      </w:pPr>
      <w:r w:rsidRPr="00A54C9E">
        <w:rPr>
          <w:rFonts w:ascii="Times New Roman" w:eastAsia="Calibri" w:hAnsi="Times New Roman" w:cs="Times New Roman"/>
          <w:b/>
          <w:i/>
          <w:color w:val="000000"/>
          <w:sz w:val="32"/>
          <w:szCs w:val="32"/>
        </w:rPr>
        <w:t>Course or module title</w:t>
      </w:r>
      <w:r w:rsidRPr="000C6033">
        <w:rPr>
          <w:rFonts w:ascii="Times New Roman" w:eastAsia="Calibri" w:hAnsi="Times New Roman" w:cs="Times New Roman"/>
          <w:i/>
          <w:color w:val="000000"/>
          <w:sz w:val="24"/>
          <w:szCs w:val="24"/>
          <w:vertAlign w:val="superscript"/>
        </w:rPr>
        <w:footnoteReference w:id="1"/>
      </w:r>
    </w:p>
    <w:p w:rsidR="00295BBB" w:rsidRDefault="00295BBB" w:rsidP="00295BBB">
      <w:pPr>
        <w:rPr>
          <w:bCs/>
        </w:rPr>
      </w:pPr>
    </w:p>
    <w:p w:rsidR="00295BBB" w:rsidRPr="00A54C9E" w:rsidRDefault="00295BBB" w:rsidP="00295BBB">
      <w:pPr>
        <w:pStyle w:val="ListParagraph"/>
        <w:numPr>
          <w:ilvl w:val="0"/>
          <w:numId w:val="2"/>
        </w:numPr>
        <w:spacing w:after="0"/>
        <w:rPr>
          <w:rFonts w:ascii="Times New Roman" w:hAnsi="Times New Roman" w:cs="Times New Roman"/>
          <w:b/>
          <w:bCs/>
          <w:sz w:val="28"/>
          <w:szCs w:val="28"/>
        </w:rPr>
      </w:pPr>
      <w:r w:rsidRPr="00E10EC9">
        <w:rPr>
          <w:rFonts w:ascii="Times New Roman" w:hAnsi="Times New Roman" w:cs="Times New Roman"/>
          <w:b/>
          <w:bCs/>
          <w:sz w:val="28"/>
          <w:szCs w:val="28"/>
        </w:rPr>
        <w:t xml:space="preserve">Introduction </w:t>
      </w:r>
    </w:p>
    <w:p w:rsidR="00295BBB" w:rsidRPr="009B4125" w:rsidRDefault="00295BBB" w:rsidP="00295BBB">
      <w:pPr>
        <w:pStyle w:val="ListParagraph"/>
        <w:pBdr>
          <w:top w:val="nil"/>
          <w:left w:val="nil"/>
          <w:bottom w:val="nil"/>
          <w:right w:val="nil"/>
          <w:between w:val="nil"/>
        </w:pBdr>
        <w:spacing w:after="0"/>
        <w:ind w:left="720" w:firstLine="0"/>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4"/>
          <w:szCs w:val="24"/>
        </w:rPr>
        <w:t>1.1</w:t>
      </w:r>
      <w:r w:rsidRPr="00A54C9E">
        <w:rPr>
          <w:rFonts w:ascii="Times New Roman" w:eastAsia="Calibri" w:hAnsi="Times New Roman" w:cs="Times New Roman"/>
          <w:b/>
          <w:color w:val="000000"/>
          <w:sz w:val="24"/>
          <w:szCs w:val="24"/>
        </w:rPr>
        <w:t xml:space="preserve">   </w:t>
      </w:r>
      <w:r w:rsidRPr="009B4125">
        <w:rPr>
          <w:rFonts w:ascii="Times New Roman" w:eastAsia="Calibri" w:hAnsi="Times New Roman" w:cs="Times New Roman"/>
          <w:b/>
          <w:color w:val="000000"/>
          <w:sz w:val="28"/>
          <w:szCs w:val="28"/>
        </w:rPr>
        <w:t>Purpose of module/course</w:t>
      </w:r>
    </w:p>
    <w:p w:rsidR="00295BBB" w:rsidRPr="000C6033" w:rsidRDefault="00295BBB" w:rsidP="00295BBB">
      <w:pPr>
        <w:pBdr>
          <w:top w:val="nil"/>
          <w:left w:val="nil"/>
          <w:bottom w:val="nil"/>
          <w:right w:val="nil"/>
          <w:between w:val="nil"/>
        </w:pBdr>
        <w:spacing w:after="0" w:line="240" w:lineRule="auto"/>
        <w:ind w:left="720"/>
        <w:jc w:val="both"/>
        <w:rPr>
          <w:rFonts w:ascii="Times New Roman" w:eastAsia="Calibri" w:hAnsi="Times New Roman" w:cs="Times New Roman"/>
          <w:b/>
          <w:color w:val="000000"/>
          <w:sz w:val="24"/>
          <w:szCs w:val="24"/>
        </w:rPr>
      </w:pPr>
    </w:p>
    <w:p w:rsidR="00295BBB" w:rsidRPr="000C6033" w:rsidRDefault="00295BBB" w:rsidP="00295BBB">
      <w:pPr>
        <w:pBdr>
          <w:top w:val="nil"/>
          <w:left w:val="nil"/>
          <w:bottom w:val="nil"/>
          <w:right w:val="nil"/>
          <w:between w:val="nil"/>
        </w:pBdr>
        <w:spacing w:after="0" w:line="240" w:lineRule="auto"/>
        <w:jc w:val="both"/>
        <w:rPr>
          <w:rFonts w:ascii="Times New Roman" w:eastAsia="Calibri" w:hAnsi="Times New Roman" w:cs="Times New Roman"/>
          <w:i/>
          <w:color w:val="000000"/>
          <w:sz w:val="24"/>
          <w:szCs w:val="24"/>
        </w:rPr>
      </w:pPr>
      <w:r w:rsidRPr="000C6033">
        <w:rPr>
          <w:rFonts w:ascii="Times New Roman" w:eastAsia="Calibri" w:hAnsi="Times New Roman" w:cs="Times New Roman"/>
          <w:i/>
          <w:color w:val="000000"/>
          <w:sz w:val="24"/>
          <w:szCs w:val="24"/>
        </w:rPr>
        <w:t xml:space="preserve">In this section, provide a clear purpose statement for the </w:t>
      </w:r>
      <w:proofErr w:type="gramStart"/>
      <w:r w:rsidRPr="000C6033">
        <w:rPr>
          <w:rFonts w:ascii="Times New Roman" w:eastAsia="Calibri" w:hAnsi="Times New Roman" w:cs="Times New Roman"/>
          <w:i/>
          <w:color w:val="000000"/>
          <w:sz w:val="24"/>
          <w:szCs w:val="24"/>
        </w:rPr>
        <w:t>module which</w:t>
      </w:r>
      <w:proofErr w:type="gramEnd"/>
      <w:r w:rsidRPr="000C6033">
        <w:rPr>
          <w:rFonts w:ascii="Times New Roman" w:eastAsia="Calibri" w:hAnsi="Times New Roman" w:cs="Times New Roman"/>
          <w:i/>
          <w:color w:val="000000"/>
          <w:sz w:val="24"/>
          <w:szCs w:val="24"/>
        </w:rPr>
        <w:t xml:space="preserve"> will motivate students and help them to understand why this module is important. You could also provide infor</w:t>
      </w:r>
      <w:r>
        <w:rPr>
          <w:rFonts w:ascii="Times New Roman" w:eastAsia="Calibri" w:hAnsi="Times New Roman" w:cs="Times New Roman"/>
          <w:i/>
          <w:color w:val="000000"/>
          <w:sz w:val="24"/>
          <w:szCs w:val="24"/>
        </w:rPr>
        <w:t>mation regarding how the module</w:t>
      </w:r>
      <w:r w:rsidRPr="000C6033">
        <w:rPr>
          <w:rFonts w:ascii="Times New Roman" w:eastAsia="Calibri" w:hAnsi="Times New Roman" w:cs="Times New Roman"/>
          <w:i/>
          <w:color w:val="000000"/>
          <w:sz w:val="24"/>
          <w:szCs w:val="24"/>
        </w:rPr>
        <w:t xml:space="preserve"> fits into the overall degree structure, including pre- and co- requisites.</w:t>
      </w:r>
    </w:p>
    <w:p w:rsidR="00295BBB" w:rsidRPr="000C6033" w:rsidRDefault="00295BBB" w:rsidP="00295BBB">
      <w:p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0C6033">
        <w:rPr>
          <w:rFonts w:ascii="Times New Roman" w:eastAsia="Calibri" w:hAnsi="Times New Roman" w:cs="Times New Roman"/>
          <w:color w:val="000000"/>
          <w:sz w:val="24"/>
          <w:szCs w:val="24"/>
        </w:rPr>
        <w:t xml:space="preserve"> </w:t>
      </w:r>
    </w:p>
    <w:p w:rsidR="00295BBB" w:rsidRPr="009B4125" w:rsidRDefault="00295BBB" w:rsidP="00295BBB">
      <w:pPr>
        <w:pStyle w:val="ListParagraph"/>
        <w:pBdr>
          <w:top w:val="nil"/>
          <w:left w:val="nil"/>
          <w:bottom w:val="nil"/>
          <w:right w:val="nil"/>
          <w:between w:val="nil"/>
        </w:pBdr>
        <w:spacing w:after="0"/>
        <w:ind w:left="720" w:firstLine="0"/>
        <w:jc w:val="both"/>
        <w:rPr>
          <w:rFonts w:ascii="Times New Roman" w:eastAsia="Calibri" w:hAnsi="Times New Roman" w:cs="Times New Roman"/>
          <w:b/>
          <w:color w:val="000000"/>
          <w:sz w:val="24"/>
          <w:szCs w:val="24"/>
        </w:rPr>
      </w:pPr>
      <w:r w:rsidRPr="009B4125">
        <w:rPr>
          <w:rFonts w:ascii="Times New Roman" w:eastAsia="Calibri" w:hAnsi="Times New Roman" w:cs="Times New Roman"/>
          <w:b/>
          <w:color w:val="000000"/>
          <w:sz w:val="24"/>
          <w:szCs w:val="24"/>
        </w:rPr>
        <w:t xml:space="preserve">1.2   </w:t>
      </w:r>
      <w:r w:rsidRPr="009B4125">
        <w:rPr>
          <w:rFonts w:ascii="Times New Roman" w:eastAsia="Calibri" w:hAnsi="Times New Roman" w:cs="Times New Roman"/>
          <w:b/>
          <w:color w:val="000000"/>
          <w:sz w:val="28"/>
          <w:szCs w:val="28"/>
        </w:rPr>
        <w:t>HEQSF level and Credit Value</w:t>
      </w:r>
    </w:p>
    <w:p w:rsidR="00295BBB" w:rsidRPr="000C6033" w:rsidRDefault="00295BBB" w:rsidP="00295BBB">
      <w:p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0C6033">
        <w:rPr>
          <w:rFonts w:ascii="Times New Roman" w:eastAsia="Calibri" w:hAnsi="Times New Roman" w:cs="Times New Roman"/>
          <w:color w:val="000000"/>
          <w:sz w:val="24"/>
          <w:szCs w:val="24"/>
        </w:rPr>
        <w:t xml:space="preserve"> </w:t>
      </w:r>
    </w:p>
    <w:p w:rsidR="00295BBB" w:rsidRPr="000C6033" w:rsidRDefault="00295BBB" w:rsidP="00295BBB">
      <w:pPr>
        <w:pBdr>
          <w:top w:val="nil"/>
          <w:left w:val="nil"/>
          <w:bottom w:val="nil"/>
          <w:right w:val="nil"/>
          <w:between w:val="nil"/>
        </w:pBdr>
        <w:spacing w:after="0" w:line="240" w:lineRule="auto"/>
        <w:jc w:val="both"/>
        <w:rPr>
          <w:rFonts w:ascii="Times New Roman" w:eastAsia="Calibri" w:hAnsi="Times New Roman" w:cs="Times New Roman"/>
          <w:i/>
          <w:color w:val="000000"/>
          <w:sz w:val="24"/>
          <w:szCs w:val="24"/>
        </w:rPr>
      </w:pPr>
      <w:r w:rsidRPr="000C6033">
        <w:rPr>
          <w:rFonts w:ascii="Times New Roman" w:eastAsia="Calibri" w:hAnsi="Times New Roman" w:cs="Times New Roman"/>
          <w:i/>
          <w:color w:val="000000"/>
          <w:sz w:val="24"/>
          <w:szCs w:val="24"/>
        </w:rPr>
        <w:t>This section can only be completed in consultation with colleagues in a curriculum team. All qualifications are pegged at specific levels on the Higher Education Qualifications Sub-Framework (HEQSF) (</w:t>
      </w:r>
      <w:hyperlink r:id="rId9">
        <w:r w:rsidRPr="000C6033">
          <w:rPr>
            <w:rFonts w:ascii="Times New Roman" w:eastAsia="Calibri" w:hAnsi="Times New Roman" w:cs="Times New Roman"/>
            <w:color w:val="1155CC"/>
            <w:sz w:val="24"/>
            <w:szCs w:val="24"/>
            <w:u w:val="single"/>
          </w:rPr>
          <w:t>http://www.che.ac.za/media_and_publications/legislation/government-gazette-higher-education-qualifications-sub-framewor-0</w:t>
        </w:r>
      </w:hyperlink>
      <w:r w:rsidRPr="000C6033">
        <w:rPr>
          <w:rFonts w:ascii="Times New Roman" w:eastAsia="Calibri" w:hAnsi="Times New Roman" w:cs="Times New Roman"/>
          <w:i/>
          <w:color w:val="000000"/>
          <w:sz w:val="24"/>
          <w:szCs w:val="24"/>
        </w:rPr>
        <w:t xml:space="preserve">). </w:t>
      </w:r>
    </w:p>
    <w:p w:rsidR="00295BBB" w:rsidRDefault="00295BBB" w:rsidP="00295BBB">
      <w:pPr>
        <w:pBdr>
          <w:top w:val="nil"/>
          <w:left w:val="nil"/>
          <w:bottom w:val="nil"/>
          <w:right w:val="nil"/>
          <w:between w:val="nil"/>
        </w:pBdr>
        <w:spacing w:after="0" w:line="240" w:lineRule="auto"/>
        <w:jc w:val="both"/>
        <w:rPr>
          <w:rFonts w:ascii="Times New Roman" w:eastAsia="Calibri" w:hAnsi="Times New Roman" w:cs="Times New Roman"/>
          <w:i/>
          <w:color w:val="000000"/>
          <w:sz w:val="24"/>
          <w:szCs w:val="24"/>
        </w:rPr>
      </w:pPr>
      <w:r>
        <w:rPr>
          <w:rFonts w:ascii="Times New Roman" w:eastAsia="Calibri" w:hAnsi="Times New Roman" w:cs="Times New Roman"/>
          <w:i/>
          <w:color w:val="000000"/>
          <w:sz w:val="24"/>
          <w:szCs w:val="24"/>
        </w:rPr>
        <w:t xml:space="preserve">For example, B- degrees are </w:t>
      </w:r>
      <w:r w:rsidRPr="000C6033">
        <w:rPr>
          <w:rFonts w:ascii="Times New Roman" w:eastAsia="Calibri" w:hAnsi="Times New Roman" w:cs="Times New Roman"/>
          <w:i/>
          <w:color w:val="000000"/>
          <w:sz w:val="24"/>
          <w:szCs w:val="24"/>
        </w:rPr>
        <w:t xml:space="preserve">pegged at a level 7, </w:t>
      </w:r>
      <w:proofErr w:type="spellStart"/>
      <w:r w:rsidRPr="000C6033">
        <w:rPr>
          <w:rFonts w:ascii="Times New Roman" w:eastAsia="Calibri" w:hAnsi="Times New Roman" w:cs="Times New Roman"/>
          <w:i/>
          <w:color w:val="000000"/>
          <w:sz w:val="24"/>
          <w:szCs w:val="24"/>
        </w:rPr>
        <w:t>honours</w:t>
      </w:r>
      <w:proofErr w:type="spellEnd"/>
      <w:r w:rsidRPr="000C6033">
        <w:rPr>
          <w:rFonts w:ascii="Times New Roman" w:eastAsia="Calibri" w:hAnsi="Times New Roman" w:cs="Times New Roman"/>
          <w:i/>
          <w:color w:val="000000"/>
          <w:sz w:val="24"/>
          <w:szCs w:val="24"/>
        </w:rPr>
        <w:t xml:space="preserve"> degrees a level 8, </w:t>
      </w:r>
      <w:proofErr w:type="gramStart"/>
      <w:r w:rsidRPr="000C6033">
        <w:rPr>
          <w:rFonts w:ascii="Times New Roman" w:eastAsia="Calibri" w:hAnsi="Times New Roman" w:cs="Times New Roman"/>
          <w:i/>
          <w:color w:val="000000"/>
          <w:sz w:val="24"/>
          <w:szCs w:val="24"/>
        </w:rPr>
        <w:t>masters</w:t>
      </w:r>
      <w:proofErr w:type="gramEnd"/>
      <w:r w:rsidRPr="000C6033">
        <w:rPr>
          <w:rFonts w:ascii="Times New Roman" w:eastAsia="Calibri" w:hAnsi="Times New Roman" w:cs="Times New Roman"/>
          <w:i/>
          <w:color w:val="000000"/>
          <w:sz w:val="24"/>
          <w:szCs w:val="24"/>
        </w:rPr>
        <w:t xml:space="preserve"> degrees at a level 9 and PhD degrees at level 10. The HEQSF specifies minimum credits for qualifications. For example minimum credits for a B-degree are 360.  So for example, at Rhodes a BA is worth 360 credits. This means that at first and second year courses </w:t>
      </w:r>
      <w:r>
        <w:rPr>
          <w:rFonts w:ascii="Times New Roman" w:eastAsia="Calibri" w:hAnsi="Times New Roman" w:cs="Times New Roman"/>
          <w:i/>
          <w:color w:val="000000"/>
          <w:sz w:val="24"/>
          <w:szCs w:val="24"/>
        </w:rPr>
        <w:t xml:space="preserve">are assigned </w:t>
      </w:r>
      <w:r w:rsidRPr="000C6033">
        <w:rPr>
          <w:rFonts w:ascii="Times New Roman" w:eastAsia="Calibri" w:hAnsi="Times New Roman" w:cs="Times New Roman"/>
          <w:i/>
          <w:color w:val="000000"/>
          <w:sz w:val="24"/>
          <w:szCs w:val="24"/>
        </w:rPr>
        <w:t xml:space="preserve">a credit value of 30. Third year courses have a credit value of 60. A semester long first or second year course would thus be worth 15 credits and a semester long third year course 30 credits. It is assumed that the ‘average’ student would need approximately 10 hours to complete one credit worth of learning.  The 10 hours would include contact time, self-study and assessment time. Please check with individual heads of departments and deans as to how the credit system is applied in your Department and Faculty. </w:t>
      </w:r>
    </w:p>
    <w:p w:rsidR="00295BBB" w:rsidRDefault="00295BBB" w:rsidP="00295BBB">
      <w:pPr>
        <w:pBdr>
          <w:top w:val="nil"/>
          <w:left w:val="nil"/>
          <w:bottom w:val="nil"/>
          <w:right w:val="nil"/>
          <w:between w:val="nil"/>
        </w:pBdr>
        <w:spacing w:after="0" w:line="240" w:lineRule="auto"/>
        <w:jc w:val="both"/>
        <w:rPr>
          <w:rFonts w:ascii="Times New Roman" w:eastAsia="Calibri" w:hAnsi="Times New Roman" w:cs="Times New Roman"/>
          <w:i/>
          <w:color w:val="000000"/>
          <w:sz w:val="24"/>
          <w:szCs w:val="24"/>
        </w:rPr>
      </w:pPr>
    </w:p>
    <w:p w:rsidR="00295BBB" w:rsidRPr="000C2D39" w:rsidRDefault="00295BBB" w:rsidP="00295BBB">
      <w:pPr>
        <w:pStyle w:val="ListParagraph"/>
        <w:numPr>
          <w:ilvl w:val="1"/>
          <w:numId w:val="2"/>
        </w:numPr>
        <w:jc w:val="both"/>
        <w:rPr>
          <w:rFonts w:ascii="Times New Roman" w:hAnsi="Times New Roman" w:cs="Times New Roman"/>
          <w:bCs/>
          <w:sz w:val="28"/>
          <w:szCs w:val="28"/>
        </w:rPr>
      </w:pPr>
      <w:r w:rsidRPr="000C2D39">
        <w:rPr>
          <w:rFonts w:ascii="Times New Roman" w:hAnsi="Times New Roman" w:cs="Times New Roman"/>
          <w:b/>
          <w:sz w:val="28"/>
          <w:szCs w:val="28"/>
        </w:rPr>
        <w:t>Assumptions of Prior Learning (or Learning assumed to be in plac</w:t>
      </w:r>
      <w:r w:rsidRPr="000C2D39">
        <w:rPr>
          <w:rFonts w:ascii="Times New Roman" w:hAnsi="Times New Roman" w:cs="Times New Roman"/>
          <w:sz w:val="28"/>
          <w:szCs w:val="28"/>
        </w:rPr>
        <w:t>e</w:t>
      </w:r>
    </w:p>
    <w:p w:rsidR="00295BBB" w:rsidRPr="000C6033" w:rsidRDefault="00295BBB" w:rsidP="00295BBB">
      <w:pPr>
        <w:pBdr>
          <w:top w:val="nil"/>
          <w:left w:val="nil"/>
          <w:bottom w:val="nil"/>
          <w:right w:val="nil"/>
          <w:between w:val="nil"/>
        </w:pBdr>
        <w:spacing w:after="0" w:line="240" w:lineRule="auto"/>
        <w:jc w:val="both"/>
        <w:rPr>
          <w:rFonts w:ascii="Times New Roman" w:eastAsia="Calibri" w:hAnsi="Times New Roman" w:cs="Times New Roman"/>
          <w:i/>
          <w:color w:val="000000"/>
          <w:sz w:val="24"/>
          <w:szCs w:val="24"/>
        </w:rPr>
      </w:pPr>
      <w:r w:rsidRPr="000C6033">
        <w:rPr>
          <w:rFonts w:ascii="Times New Roman" w:eastAsia="Calibri" w:hAnsi="Times New Roman" w:cs="Times New Roman"/>
          <w:i/>
          <w:color w:val="000000"/>
          <w:sz w:val="24"/>
          <w:szCs w:val="24"/>
        </w:rPr>
        <w:t xml:space="preserve">In </w:t>
      </w:r>
      <w:r>
        <w:rPr>
          <w:rFonts w:ascii="Times New Roman" w:eastAsia="Calibri" w:hAnsi="Times New Roman" w:cs="Times New Roman"/>
          <w:i/>
          <w:color w:val="000000"/>
          <w:sz w:val="24"/>
          <w:szCs w:val="24"/>
        </w:rPr>
        <w:t xml:space="preserve">this section, you could specify </w:t>
      </w:r>
      <w:r w:rsidRPr="000C6033">
        <w:rPr>
          <w:rFonts w:ascii="Times New Roman" w:eastAsia="Calibri" w:hAnsi="Times New Roman" w:cs="Times New Roman"/>
          <w:i/>
          <w:color w:val="000000"/>
          <w:sz w:val="24"/>
          <w:szCs w:val="24"/>
        </w:rPr>
        <w:t>pre-requ</w:t>
      </w:r>
      <w:r>
        <w:rPr>
          <w:rFonts w:ascii="Times New Roman" w:eastAsia="Calibri" w:hAnsi="Times New Roman" w:cs="Times New Roman"/>
          <w:i/>
          <w:color w:val="000000"/>
          <w:sz w:val="24"/>
          <w:szCs w:val="24"/>
        </w:rPr>
        <w:t xml:space="preserve">isite courses / qualifications </w:t>
      </w:r>
      <w:r w:rsidRPr="000C6033">
        <w:rPr>
          <w:rFonts w:ascii="Times New Roman" w:eastAsia="Calibri" w:hAnsi="Times New Roman" w:cs="Times New Roman"/>
          <w:i/>
          <w:color w:val="000000"/>
          <w:sz w:val="24"/>
          <w:szCs w:val="24"/>
        </w:rPr>
        <w:t xml:space="preserve">that students should have done to qualify to enroll for this particular course. </w:t>
      </w:r>
    </w:p>
    <w:p w:rsidR="00295BBB" w:rsidRDefault="00295BBB" w:rsidP="00295BBB">
      <w:pPr>
        <w:pBdr>
          <w:top w:val="nil"/>
          <w:left w:val="nil"/>
          <w:bottom w:val="nil"/>
          <w:right w:val="nil"/>
          <w:between w:val="nil"/>
        </w:pBdr>
        <w:spacing w:after="0" w:line="240" w:lineRule="auto"/>
        <w:jc w:val="both"/>
        <w:rPr>
          <w:rFonts w:ascii="Times New Roman" w:eastAsia="Calibri" w:hAnsi="Times New Roman" w:cs="Times New Roman"/>
          <w:b/>
          <w:color w:val="000000"/>
          <w:sz w:val="24"/>
          <w:szCs w:val="24"/>
        </w:rPr>
        <w:sectPr w:rsidR="00295BBB" w:rsidSect="00875D2D">
          <w:footerReference w:type="first" r:id="rId10"/>
          <w:pgSz w:w="12240" w:h="15840"/>
          <w:pgMar w:top="1440" w:right="1080" w:bottom="1440" w:left="1080" w:header="576" w:footer="432" w:gutter="0"/>
          <w:cols w:space="720"/>
          <w:titlePg/>
          <w:docGrid w:linePitch="360"/>
        </w:sectPr>
      </w:pPr>
      <w:r w:rsidRPr="000C6033">
        <w:rPr>
          <w:rFonts w:ascii="Times New Roman" w:eastAsia="Calibri" w:hAnsi="Times New Roman" w:cs="Times New Roman"/>
          <w:b/>
          <w:color w:val="000000"/>
          <w:sz w:val="24"/>
          <w:szCs w:val="24"/>
        </w:rPr>
        <w:t xml:space="preserve"> </w:t>
      </w:r>
    </w:p>
    <w:p w:rsidR="00295BBB" w:rsidRPr="006B10D7" w:rsidRDefault="00295BBB" w:rsidP="00295BBB">
      <w:pPr>
        <w:pBdr>
          <w:top w:val="nil"/>
          <w:left w:val="nil"/>
          <w:bottom w:val="nil"/>
          <w:right w:val="nil"/>
          <w:between w:val="nil"/>
        </w:pBdr>
        <w:spacing w:after="0" w:line="240" w:lineRule="auto"/>
        <w:jc w:val="both"/>
        <w:rPr>
          <w:rFonts w:ascii="Times New Roman" w:eastAsia="Calibri" w:hAnsi="Times New Roman" w:cs="Times New Roman"/>
          <w:b/>
          <w:color w:val="000000"/>
          <w:sz w:val="24"/>
          <w:szCs w:val="24"/>
        </w:rPr>
      </w:pPr>
    </w:p>
    <w:p w:rsidR="00295BBB" w:rsidRPr="006B10D7" w:rsidRDefault="00295BBB" w:rsidP="00295BBB">
      <w:pPr>
        <w:pStyle w:val="ListParagraph"/>
        <w:numPr>
          <w:ilvl w:val="0"/>
          <w:numId w:val="2"/>
        </w:numPr>
        <w:pBdr>
          <w:top w:val="nil"/>
          <w:left w:val="nil"/>
          <w:bottom w:val="nil"/>
          <w:right w:val="nil"/>
          <w:between w:val="nil"/>
        </w:pBdr>
        <w:spacing w:after="0"/>
        <w:jc w:val="both"/>
        <w:rPr>
          <w:rFonts w:ascii="Times New Roman" w:eastAsia="Calibri" w:hAnsi="Times New Roman" w:cs="Times New Roman"/>
          <w:b/>
          <w:color w:val="000000"/>
          <w:sz w:val="28"/>
          <w:szCs w:val="28"/>
        </w:rPr>
      </w:pPr>
      <w:r w:rsidRPr="006B10D7">
        <w:rPr>
          <w:rFonts w:ascii="Times New Roman" w:eastAsia="Calibri" w:hAnsi="Times New Roman" w:cs="Times New Roman"/>
          <w:b/>
          <w:color w:val="000000"/>
          <w:sz w:val="28"/>
          <w:szCs w:val="28"/>
        </w:rPr>
        <w:t>Outcomes</w:t>
      </w:r>
    </w:p>
    <w:p w:rsidR="00295BBB" w:rsidRPr="006B10D7" w:rsidRDefault="00295BBB" w:rsidP="00295BBB">
      <w:pPr>
        <w:pBdr>
          <w:top w:val="nil"/>
          <w:left w:val="nil"/>
          <w:bottom w:val="nil"/>
          <w:right w:val="nil"/>
          <w:between w:val="nil"/>
        </w:pBdr>
        <w:spacing w:after="0" w:line="240" w:lineRule="auto"/>
        <w:jc w:val="both"/>
        <w:rPr>
          <w:rFonts w:ascii="Times New Roman" w:eastAsia="Calibri" w:hAnsi="Times New Roman" w:cs="Times New Roman"/>
          <w:b/>
          <w:color w:val="000000"/>
          <w:sz w:val="24"/>
          <w:szCs w:val="24"/>
        </w:rPr>
      </w:pPr>
      <w:r w:rsidRPr="006B10D7">
        <w:rPr>
          <w:rFonts w:ascii="Times New Roman" w:eastAsia="Calibri" w:hAnsi="Times New Roman" w:cs="Times New Roman"/>
          <w:b/>
          <w:color w:val="000000"/>
          <w:sz w:val="24"/>
          <w:szCs w:val="24"/>
        </w:rPr>
        <w:t xml:space="preserve"> </w:t>
      </w:r>
    </w:p>
    <w:p w:rsidR="00295BBB" w:rsidRPr="006B10D7" w:rsidRDefault="00295BBB" w:rsidP="00295BBB">
      <w:pPr>
        <w:pBdr>
          <w:top w:val="nil"/>
          <w:left w:val="nil"/>
          <w:bottom w:val="nil"/>
          <w:right w:val="nil"/>
          <w:between w:val="nil"/>
        </w:pBdr>
        <w:spacing w:after="0" w:line="240" w:lineRule="auto"/>
        <w:ind w:left="1440" w:hanging="720"/>
        <w:jc w:val="both"/>
        <w:rPr>
          <w:rFonts w:ascii="Times New Roman" w:eastAsia="Calibri" w:hAnsi="Times New Roman" w:cs="Times New Roman"/>
          <w:b/>
          <w:color w:val="000000"/>
          <w:sz w:val="24"/>
          <w:szCs w:val="24"/>
        </w:rPr>
      </w:pPr>
      <w:r w:rsidRPr="006B10D7">
        <w:rPr>
          <w:rFonts w:ascii="Times New Roman" w:eastAsia="Calibri" w:hAnsi="Times New Roman" w:cs="Times New Roman"/>
          <w:b/>
          <w:color w:val="000000"/>
          <w:sz w:val="24"/>
          <w:szCs w:val="24"/>
        </w:rPr>
        <w:t>2.1</w:t>
      </w:r>
      <w:r w:rsidRPr="006B10D7">
        <w:rPr>
          <w:rFonts w:ascii="Times New Roman" w:eastAsia="Times New Roman" w:hAnsi="Times New Roman" w:cs="Times New Roman"/>
          <w:b/>
          <w:color w:val="000000"/>
          <w:sz w:val="24"/>
          <w:szCs w:val="24"/>
        </w:rPr>
        <w:t xml:space="preserve">   </w:t>
      </w:r>
      <w:r w:rsidRPr="006B10D7">
        <w:rPr>
          <w:rFonts w:ascii="Times New Roman" w:eastAsia="Calibri" w:hAnsi="Times New Roman" w:cs="Times New Roman"/>
          <w:b/>
          <w:color w:val="000000"/>
          <w:sz w:val="28"/>
          <w:szCs w:val="28"/>
        </w:rPr>
        <w:t>Specific Intended Outcomes</w:t>
      </w:r>
    </w:p>
    <w:p w:rsidR="00295BBB" w:rsidRPr="000C6033" w:rsidRDefault="00295BBB" w:rsidP="00295BBB">
      <w:p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0C6033">
        <w:rPr>
          <w:rFonts w:ascii="Times New Roman" w:eastAsia="Calibri" w:hAnsi="Times New Roman" w:cs="Times New Roman"/>
          <w:color w:val="000000"/>
          <w:sz w:val="24"/>
          <w:szCs w:val="24"/>
        </w:rPr>
        <w:t xml:space="preserve"> </w:t>
      </w:r>
    </w:p>
    <w:p w:rsidR="00295BBB" w:rsidRPr="000C6033" w:rsidRDefault="00295BBB" w:rsidP="00295BBB">
      <w:p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0C6033">
        <w:rPr>
          <w:rFonts w:ascii="Times New Roman" w:eastAsia="Calibri" w:hAnsi="Times New Roman" w:cs="Times New Roman"/>
          <w:i/>
          <w:color w:val="000000"/>
          <w:sz w:val="24"/>
          <w:szCs w:val="24"/>
        </w:rPr>
        <w:t>In this section you need to articulate what it is you hope your students will be able to DO as a result of their engagement with the course materials and processes. Learning outcomes should include knowledge and understanding of a discipline/ field as well as cognitive, general, professional practices and skills as well as values and attitudes.  In higher education outcomes are often complex (and can only be achieved over time and by degrees). Where possibly this complexity should be articulated and acknowledged in curriculum planning documentation.</w:t>
      </w:r>
      <w:r w:rsidRPr="000C6033">
        <w:rPr>
          <w:rFonts w:ascii="Times New Roman" w:eastAsia="Calibri" w:hAnsi="Times New Roman" w:cs="Times New Roman"/>
          <w:color w:val="000000"/>
          <w:sz w:val="24"/>
          <w:szCs w:val="24"/>
        </w:rPr>
        <w:t xml:space="preserve"> </w:t>
      </w:r>
    </w:p>
    <w:p w:rsidR="00295BBB" w:rsidRPr="000C6033" w:rsidRDefault="00295BBB" w:rsidP="00295BBB">
      <w:p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p>
    <w:p w:rsidR="00295BBB" w:rsidRPr="000C6033" w:rsidRDefault="00295BBB" w:rsidP="00295BBB">
      <w:pPr>
        <w:pBdr>
          <w:top w:val="nil"/>
          <w:left w:val="nil"/>
          <w:bottom w:val="nil"/>
          <w:right w:val="nil"/>
          <w:between w:val="nil"/>
        </w:pBdr>
        <w:spacing w:after="0" w:line="240" w:lineRule="auto"/>
        <w:jc w:val="both"/>
        <w:rPr>
          <w:rFonts w:ascii="Times New Roman" w:eastAsia="Calibri" w:hAnsi="Times New Roman" w:cs="Times New Roman"/>
          <w:i/>
          <w:color w:val="000000"/>
          <w:sz w:val="24"/>
          <w:szCs w:val="24"/>
        </w:rPr>
      </w:pPr>
      <w:r w:rsidRPr="000C6033">
        <w:rPr>
          <w:rFonts w:ascii="Times New Roman" w:eastAsia="Calibri" w:hAnsi="Times New Roman" w:cs="Times New Roman"/>
          <w:i/>
          <w:color w:val="000000"/>
          <w:sz w:val="24"/>
          <w:szCs w:val="24"/>
        </w:rPr>
        <w:t xml:space="preserve"> </w:t>
      </w:r>
    </w:p>
    <w:p w:rsidR="00295BBB" w:rsidRPr="000C6033" w:rsidRDefault="00295BBB" w:rsidP="00295BBB">
      <w:pPr>
        <w:pBdr>
          <w:top w:val="nil"/>
          <w:left w:val="nil"/>
          <w:bottom w:val="nil"/>
          <w:right w:val="nil"/>
          <w:between w:val="nil"/>
        </w:pBdr>
        <w:spacing w:after="0" w:line="240" w:lineRule="auto"/>
        <w:ind w:left="1440" w:hanging="720"/>
        <w:jc w:val="both"/>
        <w:rPr>
          <w:rFonts w:ascii="Times New Roman" w:eastAsia="Calibri" w:hAnsi="Times New Roman" w:cs="Times New Roman"/>
          <w:b/>
          <w:color w:val="000000"/>
          <w:sz w:val="24"/>
          <w:szCs w:val="24"/>
        </w:rPr>
      </w:pPr>
      <w:r w:rsidRPr="000C6033">
        <w:rPr>
          <w:rFonts w:ascii="Times New Roman" w:eastAsia="Calibri" w:hAnsi="Times New Roman" w:cs="Times New Roman"/>
          <w:b/>
          <w:color w:val="000000"/>
          <w:sz w:val="24"/>
          <w:szCs w:val="24"/>
        </w:rPr>
        <w:t>2.2</w:t>
      </w:r>
      <w:r w:rsidRPr="000C6033">
        <w:rPr>
          <w:rFonts w:ascii="Times New Roman" w:eastAsia="Times New Roman" w:hAnsi="Times New Roman" w:cs="Times New Roman"/>
          <w:color w:val="000000"/>
          <w:sz w:val="24"/>
          <w:szCs w:val="24"/>
        </w:rPr>
        <w:t xml:space="preserve">    </w:t>
      </w:r>
      <w:r w:rsidRPr="000C2D39">
        <w:rPr>
          <w:rFonts w:ascii="Times New Roman" w:eastAsia="Calibri" w:hAnsi="Times New Roman" w:cs="Times New Roman"/>
          <w:b/>
          <w:color w:val="000000"/>
          <w:sz w:val="28"/>
          <w:szCs w:val="28"/>
        </w:rPr>
        <w:t>Critical Cross-Field Outcomes</w:t>
      </w:r>
    </w:p>
    <w:p w:rsidR="00295BBB" w:rsidRPr="000C6033" w:rsidRDefault="00295BBB" w:rsidP="00295BBB">
      <w:pPr>
        <w:pBdr>
          <w:top w:val="nil"/>
          <w:left w:val="nil"/>
          <w:bottom w:val="nil"/>
          <w:right w:val="nil"/>
          <w:between w:val="nil"/>
        </w:pBdr>
        <w:spacing w:after="0" w:line="240" w:lineRule="auto"/>
        <w:jc w:val="both"/>
        <w:rPr>
          <w:rFonts w:ascii="Times New Roman" w:eastAsia="Calibri" w:hAnsi="Times New Roman" w:cs="Times New Roman"/>
          <w:b/>
          <w:color w:val="000000"/>
          <w:sz w:val="24"/>
          <w:szCs w:val="24"/>
        </w:rPr>
      </w:pPr>
      <w:r w:rsidRPr="000C6033">
        <w:rPr>
          <w:rFonts w:ascii="Times New Roman" w:eastAsia="Calibri" w:hAnsi="Times New Roman" w:cs="Times New Roman"/>
          <w:b/>
          <w:color w:val="000000"/>
          <w:sz w:val="24"/>
          <w:szCs w:val="24"/>
        </w:rPr>
        <w:t xml:space="preserve"> </w:t>
      </w:r>
    </w:p>
    <w:p w:rsidR="00295BBB" w:rsidRPr="000C6033" w:rsidRDefault="00295BBB" w:rsidP="00295BBB">
      <w:pPr>
        <w:pBdr>
          <w:top w:val="nil"/>
          <w:left w:val="nil"/>
          <w:bottom w:val="nil"/>
          <w:right w:val="nil"/>
          <w:between w:val="nil"/>
        </w:pBdr>
        <w:spacing w:after="0" w:line="240" w:lineRule="auto"/>
        <w:jc w:val="both"/>
        <w:rPr>
          <w:rFonts w:ascii="Times New Roman" w:eastAsia="Calibri" w:hAnsi="Times New Roman" w:cs="Times New Roman"/>
          <w:i/>
          <w:color w:val="000000"/>
          <w:sz w:val="24"/>
          <w:szCs w:val="24"/>
        </w:rPr>
      </w:pPr>
      <w:r w:rsidRPr="000C6033">
        <w:rPr>
          <w:rFonts w:ascii="Times New Roman" w:eastAsia="Calibri" w:hAnsi="Times New Roman" w:cs="Times New Roman"/>
          <w:i/>
          <w:color w:val="000000"/>
          <w:sz w:val="24"/>
          <w:szCs w:val="24"/>
        </w:rPr>
        <w:t>The Critical Cross-f</w:t>
      </w:r>
      <w:r>
        <w:rPr>
          <w:rFonts w:ascii="Times New Roman" w:eastAsia="Calibri" w:hAnsi="Times New Roman" w:cs="Times New Roman"/>
          <w:i/>
          <w:color w:val="000000"/>
          <w:sz w:val="24"/>
          <w:szCs w:val="24"/>
        </w:rPr>
        <w:t xml:space="preserve">ield Training Outcomes (CCFOs) </w:t>
      </w:r>
      <w:r w:rsidRPr="000C6033">
        <w:rPr>
          <w:rFonts w:ascii="Times New Roman" w:eastAsia="Calibri" w:hAnsi="Times New Roman" w:cs="Times New Roman"/>
          <w:i/>
          <w:color w:val="000000"/>
          <w:sz w:val="24"/>
          <w:szCs w:val="24"/>
        </w:rPr>
        <w:t xml:space="preserve">are another mechanism designed to contribute to coherence on the HEQSF. CCFOs describe the </w:t>
      </w:r>
      <w:r w:rsidRPr="000C6033">
        <w:rPr>
          <w:rFonts w:ascii="Times New Roman" w:eastAsia="Calibri" w:hAnsi="Times New Roman" w:cs="Times New Roman"/>
          <w:i/>
          <w:color w:val="000000"/>
          <w:sz w:val="24"/>
          <w:szCs w:val="24"/>
        </w:rPr>
        <w:t>qualities that</w:t>
      </w:r>
      <w:r w:rsidRPr="000C6033">
        <w:rPr>
          <w:rFonts w:ascii="Times New Roman" w:eastAsia="Calibri" w:hAnsi="Times New Roman" w:cs="Times New Roman"/>
          <w:i/>
          <w:color w:val="000000"/>
          <w:sz w:val="24"/>
          <w:szCs w:val="24"/>
        </w:rPr>
        <w:t xml:space="preserve"> the HEQC identifies for development in students within the education and training system, regardless of the specific area or content of learning i.e. those outcomes that are deemed critical for the development of the capacity for lifelong learning. It is mandatory that at least some of these CCFOs </w:t>
      </w:r>
      <w:proofErr w:type="gramStart"/>
      <w:r w:rsidRPr="000C6033">
        <w:rPr>
          <w:rFonts w:ascii="Times New Roman" w:eastAsia="Calibri" w:hAnsi="Times New Roman" w:cs="Times New Roman"/>
          <w:i/>
          <w:color w:val="000000"/>
          <w:sz w:val="24"/>
          <w:szCs w:val="24"/>
        </w:rPr>
        <w:t>are</w:t>
      </w:r>
      <w:proofErr w:type="gramEnd"/>
      <w:r w:rsidRPr="000C6033">
        <w:rPr>
          <w:rFonts w:ascii="Times New Roman" w:eastAsia="Calibri" w:hAnsi="Times New Roman" w:cs="Times New Roman"/>
          <w:i/>
          <w:color w:val="000000"/>
          <w:sz w:val="24"/>
          <w:szCs w:val="24"/>
        </w:rPr>
        <w:t xml:space="preserve"> addressed in all university courses. (</w:t>
      </w:r>
      <w:hyperlink r:id="rId11">
        <w:r w:rsidRPr="000C6033">
          <w:rPr>
            <w:rFonts w:ascii="Times New Roman" w:eastAsia="Calibri" w:hAnsi="Times New Roman" w:cs="Times New Roman"/>
            <w:i/>
            <w:color w:val="1155CC"/>
            <w:sz w:val="24"/>
            <w:szCs w:val="24"/>
            <w:u w:val="single"/>
          </w:rPr>
          <w:t>http://www.saqa.org.za/docs/pol/2000/curriculum_dev.pdf</w:t>
        </w:r>
      </w:hyperlink>
      <w:r w:rsidRPr="000C6033">
        <w:rPr>
          <w:rFonts w:ascii="Times New Roman" w:eastAsia="Calibri" w:hAnsi="Times New Roman" w:cs="Times New Roman"/>
          <w:i/>
          <w:color w:val="000000"/>
          <w:sz w:val="24"/>
          <w:szCs w:val="24"/>
        </w:rPr>
        <w:t>).</w:t>
      </w:r>
    </w:p>
    <w:p w:rsidR="00295BBB" w:rsidRPr="000C6033" w:rsidRDefault="00295BBB" w:rsidP="00295BBB">
      <w:pPr>
        <w:pBdr>
          <w:top w:val="nil"/>
          <w:left w:val="nil"/>
          <w:bottom w:val="nil"/>
          <w:right w:val="nil"/>
          <w:between w:val="nil"/>
        </w:pBdr>
        <w:spacing w:after="0" w:line="240" w:lineRule="auto"/>
        <w:jc w:val="both"/>
        <w:rPr>
          <w:rFonts w:ascii="Times New Roman" w:eastAsia="Calibri" w:hAnsi="Times New Roman" w:cs="Times New Roman"/>
          <w:i/>
          <w:color w:val="000000"/>
          <w:sz w:val="24"/>
          <w:szCs w:val="24"/>
        </w:rPr>
      </w:pPr>
    </w:p>
    <w:p w:rsidR="00295BBB" w:rsidRPr="000C6033" w:rsidRDefault="00295BBB" w:rsidP="00295BBB">
      <w:pPr>
        <w:pBdr>
          <w:top w:val="nil"/>
          <w:left w:val="nil"/>
          <w:bottom w:val="nil"/>
          <w:right w:val="nil"/>
          <w:between w:val="nil"/>
        </w:pBdr>
        <w:spacing w:after="0" w:line="240" w:lineRule="auto"/>
        <w:jc w:val="both"/>
        <w:rPr>
          <w:rFonts w:ascii="Times New Roman" w:eastAsia="Calibri" w:hAnsi="Times New Roman" w:cs="Times New Roman"/>
          <w:i/>
          <w:color w:val="000000"/>
          <w:sz w:val="24"/>
          <w:szCs w:val="24"/>
        </w:rPr>
      </w:pPr>
      <w:r w:rsidRPr="000C6033">
        <w:rPr>
          <w:rFonts w:ascii="Times New Roman" w:eastAsia="Calibri" w:hAnsi="Times New Roman" w:cs="Times New Roman"/>
          <w:i/>
          <w:color w:val="000000"/>
          <w:sz w:val="24"/>
          <w:szCs w:val="24"/>
        </w:rPr>
        <w:t xml:space="preserve">CCFOs are now embedded in the </w:t>
      </w:r>
      <w:r w:rsidRPr="00317F0F">
        <w:rPr>
          <w:rFonts w:ascii="Times New Roman" w:eastAsia="Calibri" w:hAnsi="Times New Roman" w:cs="Times New Roman"/>
          <w:i/>
          <w:color w:val="000000" w:themeColor="text1"/>
          <w:sz w:val="24"/>
          <w:szCs w:val="24"/>
        </w:rPr>
        <w:t xml:space="preserve">South African Qualifications Authority level descriptors </w:t>
      </w:r>
      <w:hyperlink r:id="rId12">
        <w:r w:rsidRPr="000C6033">
          <w:rPr>
            <w:rFonts w:ascii="Times New Roman" w:eastAsia="Calibri" w:hAnsi="Times New Roman" w:cs="Times New Roman"/>
            <w:i/>
            <w:color w:val="1155CC"/>
            <w:sz w:val="24"/>
            <w:szCs w:val="24"/>
            <w:u w:val="single"/>
          </w:rPr>
          <w:t>http://www.saqa.org.za/docs/misc/2012/level_descriptors.pdf</w:t>
        </w:r>
      </w:hyperlink>
      <w:r w:rsidRPr="000C6033">
        <w:rPr>
          <w:rFonts w:ascii="Times New Roman" w:eastAsia="Calibri" w:hAnsi="Times New Roman" w:cs="Times New Roman"/>
          <w:i/>
          <w:color w:val="000000"/>
          <w:sz w:val="24"/>
          <w:szCs w:val="24"/>
        </w:rPr>
        <w:t xml:space="preserve"> </w:t>
      </w:r>
    </w:p>
    <w:p w:rsidR="00295BBB" w:rsidRPr="000C6033" w:rsidRDefault="00295BBB" w:rsidP="00295BBB">
      <w:pPr>
        <w:pBdr>
          <w:top w:val="nil"/>
          <w:left w:val="nil"/>
          <w:bottom w:val="nil"/>
          <w:right w:val="nil"/>
          <w:between w:val="nil"/>
        </w:pBdr>
        <w:spacing w:after="0" w:line="240" w:lineRule="auto"/>
        <w:jc w:val="both"/>
        <w:rPr>
          <w:rFonts w:ascii="Times New Roman" w:eastAsia="Calibri" w:hAnsi="Times New Roman" w:cs="Times New Roman"/>
          <w:i/>
          <w:color w:val="000000"/>
          <w:sz w:val="24"/>
          <w:szCs w:val="24"/>
        </w:rPr>
      </w:pPr>
    </w:p>
    <w:p w:rsidR="00295BBB" w:rsidRPr="000C6033" w:rsidRDefault="00295BBB" w:rsidP="00295BBB">
      <w:pPr>
        <w:pBdr>
          <w:top w:val="nil"/>
          <w:left w:val="nil"/>
          <w:bottom w:val="nil"/>
          <w:right w:val="nil"/>
          <w:between w:val="nil"/>
        </w:pBdr>
        <w:spacing w:after="0" w:line="240" w:lineRule="auto"/>
        <w:jc w:val="both"/>
        <w:rPr>
          <w:rFonts w:ascii="Times New Roman" w:eastAsia="Calibri" w:hAnsi="Times New Roman" w:cs="Times New Roman"/>
          <w:i/>
          <w:color w:val="000000"/>
          <w:sz w:val="24"/>
          <w:szCs w:val="24"/>
        </w:rPr>
      </w:pPr>
      <w:r w:rsidRPr="000C6033">
        <w:rPr>
          <w:rFonts w:ascii="Times New Roman" w:eastAsia="Calibri" w:hAnsi="Times New Roman" w:cs="Times New Roman"/>
          <w:i/>
          <w:color w:val="000000"/>
          <w:sz w:val="24"/>
          <w:szCs w:val="24"/>
        </w:rPr>
        <w:t xml:space="preserve">You can select from this list of critical cross-field outcomes those outcomes to which you think the course can contribute. It is unlikely that any single course could meet all twelve, as these </w:t>
      </w:r>
      <w:proofErr w:type="gramStart"/>
      <w:r w:rsidRPr="000C6033">
        <w:rPr>
          <w:rFonts w:ascii="Times New Roman" w:eastAsia="Calibri" w:hAnsi="Times New Roman" w:cs="Times New Roman"/>
          <w:i/>
          <w:color w:val="000000"/>
          <w:sz w:val="24"/>
          <w:szCs w:val="24"/>
        </w:rPr>
        <w:t>are expected to be met</w:t>
      </w:r>
      <w:proofErr w:type="gramEnd"/>
      <w:r w:rsidRPr="000C6033">
        <w:rPr>
          <w:rFonts w:ascii="Times New Roman" w:eastAsia="Calibri" w:hAnsi="Times New Roman" w:cs="Times New Roman"/>
          <w:i/>
          <w:color w:val="000000"/>
          <w:sz w:val="24"/>
          <w:szCs w:val="24"/>
        </w:rPr>
        <w:t xml:space="preserve"> on completion of a degree/</w:t>
      </w:r>
      <w:proofErr w:type="spellStart"/>
      <w:r w:rsidRPr="000C6033">
        <w:rPr>
          <w:rFonts w:ascii="Times New Roman" w:eastAsia="Calibri" w:hAnsi="Times New Roman" w:cs="Times New Roman"/>
          <w:i/>
          <w:color w:val="000000"/>
          <w:sz w:val="24"/>
          <w:szCs w:val="24"/>
        </w:rPr>
        <w:t>programme</w:t>
      </w:r>
      <w:proofErr w:type="spellEnd"/>
      <w:r w:rsidRPr="000C6033">
        <w:rPr>
          <w:rFonts w:ascii="Times New Roman" w:eastAsia="Calibri" w:hAnsi="Times New Roman" w:cs="Times New Roman"/>
          <w:i/>
          <w:color w:val="000000"/>
          <w:sz w:val="24"/>
          <w:szCs w:val="24"/>
        </w:rPr>
        <w:t>. These can either be written as separate outcomes related to your course or can be integrated in the specific intended outcomes (see above).</w:t>
      </w:r>
    </w:p>
    <w:p w:rsidR="00295BBB" w:rsidRPr="000C6033" w:rsidRDefault="00295BBB" w:rsidP="00295BBB">
      <w:p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p>
    <w:p w:rsidR="00295BBB" w:rsidRPr="000C6033" w:rsidRDefault="00295BBB" w:rsidP="00295BBB">
      <w:p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0C6033">
        <w:rPr>
          <w:rFonts w:ascii="Times New Roman" w:eastAsia="Calibri" w:hAnsi="Times New Roman" w:cs="Times New Roman"/>
          <w:color w:val="000000"/>
          <w:sz w:val="24"/>
          <w:szCs w:val="24"/>
        </w:rPr>
        <w:t>Students will be able to:</w:t>
      </w:r>
    </w:p>
    <w:p w:rsidR="00295BBB" w:rsidRPr="000C6033" w:rsidRDefault="00295BBB" w:rsidP="00295BBB">
      <w:p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0C6033">
        <w:rPr>
          <w:rFonts w:ascii="Times New Roman" w:eastAsia="Calibri" w:hAnsi="Times New Roman" w:cs="Times New Roman"/>
          <w:color w:val="000000"/>
          <w:sz w:val="24"/>
          <w:szCs w:val="24"/>
        </w:rPr>
        <w:t xml:space="preserve"> </w:t>
      </w:r>
    </w:p>
    <w:p w:rsidR="00295BBB" w:rsidRPr="000C6033" w:rsidRDefault="00295BBB" w:rsidP="00295BBB">
      <w:pPr>
        <w:pBdr>
          <w:top w:val="nil"/>
          <w:left w:val="nil"/>
          <w:bottom w:val="nil"/>
          <w:right w:val="nil"/>
          <w:between w:val="nil"/>
        </w:pBdr>
        <w:spacing w:after="0" w:line="240" w:lineRule="auto"/>
        <w:ind w:left="1080" w:hanging="360"/>
        <w:jc w:val="both"/>
        <w:rPr>
          <w:rFonts w:ascii="Times New Roman" w:eastAsia="Calibri" w:hAnsi="Times New Roman" w:cs="Times New Roman"/>
          <w:color w:val="000000"/>
          <w:sz w:val="24"/>
          <w:szCs w:val="24"/>
        </w:rPr>
      </w:pPr>
      <w:proofErr w:type="gramStart"/>
      <w:r w:rsidRPr="000C6033">
        <w:rPr>
          <w:rFonts w:ascii="Times New Roman" w:eastAsia="Calibri" w:hAnsi="Times New Roman" w:cs="Times New Roman"/>
          <w:color w:val="000000"/>
          <w:sz w:val="24"/>
          <w:szCs w:val="24"/>
        </w:rPr>
        <w:t>a)</w:t>
      </w:r>
      <w:r w:rsidRPr="000C603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0C6033">
        <w:rPr>
          <w:rFonts w:ascii="Times New Roman" w:eastAsia="Calibri" w:hAnsi="Times New Roman" w:cs="Times New Roman"/>
          <w:color w:val="000000"/>
          <w:sz w:val="24"/>
          <w:szCs w:val="24"/>
        </w:rPr>
        <w:t>identify</w:t>
      </w:r>
      <w:proofErr w:type="gramEnd"/>
      <w:r w:rsidRPr="000C6033">
        <w:rPr>
          <w:rFonts w:ascii="Times New Roman" w:eastAsia="Calibri" w:hAnsi="Times New Roman" w:cs="Times New Roman"/>
          <w:color w:val="000000"/>
          <w:sz w:val="24"/>
          <w:szCs w:val="24"/>
        </w:rPr>
        <w:t xml:space="preserve"> and solve problems</w:t>
      </w:r>
    </w:p>
    <w:p w:rsidR="00295BBB" w:rsidRPr="000C6033" w:rsidRDefault="00295BBB" w:rsidP="00295BBB">
      <w:pPr>
        <w:pBdr>
          <w:top w:val="nil"/>
          <w:left w:val="nil"/>
          <w:bottom w:val="nil"/>
          <w:right w:val="nil"/>
          <w:between w:val="nil"/>
        </w:pBdr>
        <w:spacing w:after="0" w:line="240" w:lineRule="auto"/>
        <w:ind w:left="1080" w:hanging="360"/>
        <w:jc w:val="both"/>
        <w:rPr>
          <w:rFonts w:ascii="Times New Roman" w:eastAsia="Calibri" w:hAnsi="Times New Roman" w:cs="Times New Roman"/>
          <w:color w:val="000000"/>
          <w:sz w:val="24"/>
          <w:szCs w:val="24"/>
        </w:rPr>
      </w:pPr>
      <w:proofErr w:type="gramStart"/>
      <w:r w:rsidRPr="000C6033">
        <w:rPr>
          <w:rFonts w:ascii="Times New Roman" w:eastAsia="Calibri" w:hAnsi="Times New Roman" w:cs="Times New Roman"/>
          <w:color w:val="000000"/>
          <w:sz w:val="24"/>
          <w:szCs w:val="24"/>
        </w:rPr>
        <w:t>b)</w:t>
      </w:r>
      <w:r w:rsidRPr="000C6033">
        <w:rPr>
          <w:rFonts w:ascii="Times New Roman" w:eastAsia="Times New Roman" w:hAnsi="Times New Roman" w:cs="Times New Roman"/>
          <w:color w:val="000000"/>
          <w:sz w:val="24"/>
          <w:szCs w:val="24"/>
        </w:rPr>
        <w:t xml:space="preserve">    </w:t>
      </w:r>
      <w:r w:rsidRPr="000C6033">
        <w:rPr>
          <w:rFonts w:ascii="Times New Roman" w:eastAsia="Calibri" w:hAnsi="Times New Roman" w:cs="Times New Roman"/>
          <w:color w:val="000000"/>
          <w:sz w:val="24"/>
          <w:szCs w:val="24"/>
        </w:rPr>
        <w:t>work</w:t>
      </w:r>
      <w:proofErr w:type="gramEnd"/>
      <w:r w:rsidRPr="000C6033">
        <w:rPr>
          <w:rFonts w:ascii="Times New Roman" w:eastAsia="Calibri" w:hAnsi="Times New Roman" w:cs="Times New Roman"/>
          <w:color w:val="000000"/>
          <w:sz w:val="24"/>
          <w:szCs w:val="24"/>
        </w:rPr>
        <w:t xml:space="preserve"> in a team</w:t>
      </w:r>
    </w:p>
    <w:p w:rsidR="00295BBB" w:rsidRPr="000C6033" w:rsidRDefault="00295BBB" w:rsidP="00295BBB">
      <w:pPr>
        <w:pBdr>
          <w:top w:val="nil"/>
          <w:left w:val="nil"/>
          <w:bottom w:val="nil"/>
          <w:right w:val="nil"/>
          <w:between w:val="nil"/>
        </w:pBdr>
        <w:spacing w:after="0" w:line="240" w:lineRule="auto"/>
        <w:ind w:left="1080" w:hanging="360"/>
        <w:jc w:val="both"/>
        <w:rPr>
          <w:rFonts w:ascii="Times New Roman" w:eastAsia="Calibri" w:hAnsi="Times New Roman" w:cs="Times New Roman"/>
          <w:color w:val="000000"/>
          <w:sz w:val="24"/>
          <w:szCs w:val="24"/>
        </w:rPr>
      </w:pPr>
      <w:proofErr w:type="gramStart"/>
      <w:r w:rsidRPr="000C6033">
        <w:rPr>
          <w:rFonts w:ascii="Times New Roman" w:eastAsia="Calibri" w:hAnsi="Times New Roman" w:cs="Times New Roman"/>
          <w:color w:val="000000"/>
          <w:sz w:val="24"/>
          <w:szCs w:val="24"/>
        </w:rPr>
        <w:t>c)</w:t>
      </w:r>
      <w:r w:rsidRPr="000C6033">
        <w:rPr>
          <w:rFonts w:ascii="Times New Roman" w:eastAsia="Times New Roman" w:hAnsi="Times New Roman" w:cs="Times New Roman"/>
          <w:color w:val="000000"/>
          <w:sz w:val="24"/>
          <w:szCs w:val="24"/>
        </w:rPr>
        <w:t xml:space="preserve">     </w:t>
      </w:r>
      <w:r w:rsidRPr="000C6033">
        <w:rPr>
          <w:rFonts w:ascii="Times New Roman" w:eastAsia="Calibri" w:hAnsi="Times New Roman" w:cs="Times New Roman"/>
          <w:color w:val="000000"/>
          <w:sz w:val="24"/>
          <w:szCs w:val="24"/>
        </w:rPr>
        <w:t>organize</w:t>
      </w:r>
      <w:proofErr w:type="gramEnd"/>
      <w:r w:rsidRPr="000C6033">
        <w:rPr>
          <w:rFonts w:ascii="Times New Roman" w:eastAsia="Calibri" w:hAnsi="Times New Roman" w:cs="Times New Roman"/>
          <w:color w:val="000000"/>
          <w:sz w:val="24"/>
          <w:szCs w:val="24"/>
        </w:rPr>
        <w:t xml:space="preserve"> and manage themselves</w:t>
      </w:r>
    </w:p>
    <w:p w:rsidR="00295BBB" w:rsidRPr="000C6033" w:rsidRDefault="00295BBB" w:rsidP="00295BBB">
      <w:pPr>
        <w:pBdr>
          <w:top w:val="nil"/>
          <w:left w:val="nil"/>
          <w:bottom w:val="nil"/>
          <w:right w:val="nil"/>
          <w:between w:val="nil"/>
        </w:pBdr>
        <w:spacing w:after="0" w:line="240" w:lineRule="auto"/>
        <w:ind w:left="1080" w:hanging="360"/>
        <w:jc w:val="both"/>
        <w:rPr>
          <w:rFonts w:ascii="Times New Roman" w:eastAsia="Calibri" w:hAnsi="Times New Roman" w:cs="Times New Roman"/>
          <w:color w:val="000000"/>
          <w:sz w:val="24"/>
          <w:szCs w:val="24"/>
        </w:rPr>
      </w:pPr>
      <w:proofErr w:type="gramStart"/>
      <w:r w:rsidRPr="000C6033">
        <w:rPr>
          <w:rFonts w:ascii="Times New Roman" w:eastAsia="Calibri" w:hAnsi="Times New Roman" w:cs="Times New Roman"/>
          <w:color w:val="000000"/>
          <w:sz w:val="24"/>
          <w:szCs w:val="24"/>
        </w:rPr>
        <w:t>d)</w:t>
      </w:r>
      <w:r w:rsidRPr="000C6033">
        <w:rPr>
          <w:rFonts w:ascii="Times New Roman" w:eastAsia="Times New Roman" w:hAnsi="Times New Roman" w:cs="Times New Roman"/>
          <w:color w:val="000000"/>
          <w:sz w:val="24"/>
          <w:szCs w:val="24"/>
        </w:rPr>
        <w:t xml:space="preserve">    </w:t>
      </w:r>
      <w:r w:rsidRPr="000C6033">
        <w:rPr>
          <w:rFonts w:ascii="Times New Roman" w:eastAsia="Calibri" w:hAnsi="Times New Roman" w:cs="Times New Roman"/>
          <w:color w:val="000000"/>
          <w:sz w:val="24"/>
          <w:szCs w:val="24"/>
        </w:rPr>
        <w:t>collect</w:t>
      </w:r>
      <w:proofErr w:type="gramEnd"/>
      <w:r w:rsidRPr="000C6033">
        <w:rPr>
          <w:rFonts w:ascii="Times New Roman" w:eastAsia="Calibri" w:hAnsi="Times New Roman" w:cs="Times New Roman"/>
          <w:color w:val="000000"/>
          <w:sz w:val="24"/>
          <w:szCs w:val="24"/>
        </w:rPr>
        <w:t xml:space="preserve">, </w:t>
      </w:r>
      <w:proofErr w:type="spellStart"/>
      <w:r w:rsidRPr="000C6033">
        <w:rPr>
          <w:rFonts w:ascii="Times New Roman" w:eastAsia="Calibri" w:hAnsi="Times New Roman" w:cs="Times New Roman"/>
          <w:color w:val="000000"/>
          <w:sz w:val="24"/>
          <w:szCs w:val="24"/>
        </w:rPr>
        <w:t>analyse</w:t>
      </w:r>
      <w:proofErr w:type="spellEnd"/>
      <w:r w:rsidRPr="000C6033">
        <w:rPr>
          <w:rFonts w:ascii="Times New Roman" w:eastAsia="Calibri" w:hAnsi="Times New Roman" w:cs="Times New Roman"/>
          <w:color w:val="000000"/>
          <w:sz w:val="24"/>
          <w:szCs w:val="24"/>
        </w:rPr>
        <w:t xml:space="preserve"> and evaluate information</w:t>
      </w:r>
    </w:p>
    <w:p w:rsidR="00295BBB" w:rsidRPr="000C6033" w:rsidRDefault="00295BBB" w:rsidP="00295BBB">
      <w:pPr>
        <w:pBdr>
          <w:top w:val="nil"/>
          <w:left w:val="nil"/>
          <w:bottom w:val="nil"/>
          <w:right w:val="nil"/>
          <w:between w:val="nil"/>
        </w:pBdr>
        <w:spacing w:after="0" w:line="240" w:lineRule="auto"/>
        <w:ind w:left="1080" w:hanging="360"/>
        <w:jc w:val="both"/>
        <w:rPr>
          <w:rFonts w:ascii="Times New Roman" w:eastAsia="Calibri" w:hAnsi="Times New Roman" w:cs="Times New Roman"/>
          <w:color w:val="000000"/>
          <w:sz w:val="24"/>
          <w:szCs w:val="24"/>
        </w:rPr>
      </w:pPr>
      <w:proofErr w:type="gramStart"/>
      <w:r w:rsidRPr="000C6033">
        <w:rPr>
          <w:rFonts w:ascii="Times New Roman" w:eastAsia="Calibri" w:hAnsi="Times New Roman" w:cs="Times New Roman"/>
          <w:color w:val="000000"/>
          <w:sz w:val="24"/>
          <w:szCs w:val="24"/>
        </w:rPr>
        <w:t>e)</w:t>
      </w:r>
      <w:r w:rsidRPr="000C6033">
        <w:rPr>
          <w:rFonts w:ascii="Times New Roman" w:eastAsia="Times New Roman" w:hAnsi="Times New Roman" w:cs="Times New Roman"/>
          <w:color w:val="000000"/>
          <w:sz w:val="24"/>
          <w:szCs w:val="24"/>
        </w:rPr>
        <w:t xml:space="preserve">    </w:t>
      </w:r>
      <w:r w:rsidRPr="000C6033">
        <w:rPr>
          <w:rFonts w:ascii="Times New Roman" w:eastAsia="Calibri" w:hAnsi="Times New Roman" w:cs="Times New Roman"/>
          <w:color w:val="000000"/>
          <w:sz w:val="24"/>
          <w:szCs w:val="24"/>
        </w:rPr>
        <w:t>communicate</w:t>
      </w:r>
      <w:proofErr w:type="gramEnd"/>
      <w:r w:rsidRPr="000C6033">
        <w:rPr>
          <w:rFonts w:ascii="Times New Roman" w:eastAsia="Calibri" w:hAnsi="Times New Roman" w:cs="Times New Roman"/>
          <w:color w:val="000000"/>
          <w:sz w:val="24"/>
          <w:szCs w:val="24"/>
        </w:rPr>
        <w:t xml:space="preserve"> effectively</w:t>
      </w:r>
    </w:p>
    <w:p w:rsidR="00295BBB" w:rsidRPr="000C6033" w:rsidRDefault="00295BBB" w:rsidP="00295BBB">
      <w:pPr>
        <w:pBdr>
          <w:top w:val="nil"/>
          <w:left w:val="nil"/>
          <w:bottom w:val="nil"/>
          <w:right w:val="nil"/>
          <w:between w:val="nil"/>
        </w:pBdr>
        <w:spacing w:after="0" w:line="240" w:lineRule="auto"/>
        <w:ind w:left="1080" w:hanging="360"/>
        <w:jc w:val="both"/>
        <w:rPr>
          <w:rFonts w:ascii="Times New Roman" w:eastAsia="Calibri" w:hAnsi="Times New Roman" w:cs="Times New Roman"/>
          <w:color w:val="000000"/>
          <w:sz w:val="24"/>
          <w:szCs w:val="24"/>
        </w:rPr>
      </w:pPr>
      <w:proofErr w:type="gramStart"/>
      <w:r w:rsidRPr="000C6033">
        <w:rPr>
          <w:rFonts w:ascii="Times New Roman" w:eastAsia="Calibri" w:hAnsi="Times New Roman" w:cs="Times New Roman"/>
          <w:color w:val="000000"/>
          <w:sz w:val="24"/>
          <w:szCs w:val="24"/>
        </w:rPr>
        <w:t>f)</w:t>
      </w:r>
      <w:r w:rsidRPr="000C6033">
        <w:rPr>
          <w:rFonts w:ascii="Times New Roman" w:eastAsia="Times New Roman" w:hAnsi="Times New Roman" w:cs="Times New Roman"/>
          <w:color w:val="000000"/>
          <w:sz w:val="24"/>
          <w:szCs w:val="24"/>
        </w:rPr>
        <w:t xml:space="preserve">     </w:t>
      </w:r>
      <w:r w:rsidRPr="000C6033">
        <w:rPr>
          <w:rFonts w:ascii="Times New Roman" w:eastAsia="Calibri" w:hAnsi="Times New Roman" w:cs="Times New Roman"/>
          <w:color w:val="000000"/>
          <w:sz w:val="24"/>
          <w:szCs w:val="24"/>
        </w:rPr>
        <w:t>use</w:t>
      </w:r>
      <w:proofErr w:type="gramEnd"/>
      <w:r w:rsidRPr="000C6033">
        <w:rPr>
          <w:rFonts w:ascii="Times New Roman" w:eastAsia="Calibri" w:hAnsi="Times New Roman" w:cs="Times New Roman"/>
          <w:color w:val="000000"/>
          <w:sz w:val="24"/>
          <w:szCs w:val="24"/>
        </w:rPr>
        <w:t xml:space="preserve"> science and technology</w:t>
      </w:r>
    </w:p>
    <w:p w:rsidR="00295BBB" w:rsidRPr="000C6033" w:rsidRDefault="00295BBB" w:rsidP="00295BBB">
      <w:pPr>
        <w:pBdr>
          <w:top w:val="nil"/>
          <w:left w:val="nil"/>
          <w:bottom w:val="nil"/>
          <w:right w:val="nil"/>
          <w:between w:val="nil"/>
        </w:pBdr>
        <w:spacing w:after="0" w:line="240" w:lineRule="auto"/>
        <w:ind w:left="1080" w:hanging="360"/>
        <w:jc w:val="both"/>
        <w:rPr>
          <w:rFonts w:ascii="Times New Roman" w:eastAsia="Calibri" w:hAnsi="Times New Roman" w:cs="Times New Roman"/>
          <w:color w:val="000000"/>
          <w:sz w:val="24"/>
          <w:szCs w:val="24"/>
        </w:rPr>
      </w:pPr>
      <w:proofErr w:type="gramStart"/>
      <w:r w:rsidRPr="000C6033">
        <w:rPr>
          <w:rFonts w:ascii="Times New Roman" w:eastAsia="Calibri" w:hAnsi="Times New Roman" w:cs="Times New Roman"/>
          <w:color w:val="000000"/>
          <w:sz w:val="24"/>
          <w:szCs w:val="24"/>
        </w:rPr>
        <w:t>g)</w:t>
      </w:r>
      <w:r w:rsidRPr="000C6033">
        <w:rPr>
          <w:rFonts w:ascii="Times New Roman" w:eastAsia="Times New Roman" w:hAnsi="Times New Roman" w:cs="Times New Roman"/>
          <w:color w:val="000000"/>
          <w:sz w:val="24"/>
          <w:szCs w:val="24"/>
        </w:rPr>
        <w:t xml:space="preserve">    </w:t>
      </w:r>
      <w:r w:rsidRPr="000C6033">
        <w:rPr>
          <w:rFonts w:ascii="Times New Roman" w:eastAsia="Calibri" w:hAnsi="Times New Roman" w:cs="Times New Roman"/>
          <w:color w:val="000000"/>
          <w:sz w:val="24"/>
          <w:szCs w:val="24"/>
        </w:rPr>
        <w:t>recognize</w:t>
      </w:r>
      <w:proofErr w:type="gramEnd"/>
      <w:r w:rsidRPr="000C6033">
        <w:rPr>
          <w:rFonts w:ascii="Times New Roman" w:eastAsia="Calibri" w:hAnsi="Times New Roman" w:cs="Times New Roman"/>
          <w:color w:val="000000"/>
          <w:sz w:val="24"/>
          <w:szCs w:val="24"/>
        </w:rPr>
        <w:t xml:space="preserve"> problem solving contexts</w:t>
      </w:r>
    </w:p>
    <w:p w:rsidR="00295BBB" w:rsidRPr="000C6033" w:rsidRDefault="00295BBB" w:rsidP="00295BBB">
      <w:pPr>
        <w:pBdr>
          <w:top w:val="nil"/>
          <w:left w:val="nil"/>
          <w:bottom w:val="nil"/>
          <w:right w:val="nil"/>
          <w:between w:val="nil"/>
        </w:pBdr>
        <w:spacing w:after="0" w:line="240" w:lineRule="auto"/>
        <w:ind w:left="1080" w:hanging="360"/>
        <w:jc w:val="both"/>
        <w:rPr>
          <w:rFonts w:ascii="Times New Roman" w:eastAsia="Calibri" w:hAnsi="Times New Roman" w:cs="Times New Roman"/>
          <w:color w:val="000000"/>
          <w:sz w:val="24"/>
          <w:szCs w:val="24"/>
        </w:rPr>
      </w:pPr>
      <w:proofErr w:type="gramStart"/>
      <w:r w:rsidRPr="000C6033">
        <w:rPr>
          <w:rFonts w:ascii="Times New Roman" w:eastAsia="Calibri" w:hAnsi="Times New Roman" w:cs="Times New Roman"/>
          <w:color w:val="000000"/>
          <w:sz w:val="24"/>
          <w:szCs w:val="24"/>
        </w:rPr>
        <w:t>h)</w:t>
      </w:r>
      <w:r w:rsidRPr="000C6033">
        <w:rPr>
          <w:rFonts w:ascii="Times New Roman" w:eastAsia="Times New Roman" w:hAnsi="Times New Roman" w:cs="Times New Roman"/>
          <w:color w:val="000000"/>
          <w:sz w:val="24"/>
          <w:szCs w:val="24"/>
        </w:rPr>
        <w:t xml:space="preserve">    </w:t>
      </w:r>
      <w:r w:rsidRPr="000C6033">
        <w:rPr>
          <w:rFonts w:ascii="Times New Roman" w:eastAsia="Calibri" w:hAnsi="Times New Roman" w:cs="Times New Roman"/>
          <w:color w:val="000000"/>
          <w:sz w:val="24"/>
          <w:szCs w:val="24"/>
        </w:rPr>
        <w:t>reflect</w:t>
      </w:r>
      <w:proofErr w:type="gramEnd"/>
      <w:r w:rsidRPr="000C6033">
        <w:rPr>
          <w:rFonts w:ascii="Times New Roman" w:eastAsia="Calibri" w:hAnsi="Times New Roman" w:cs="Times New Roman"/>
          <w:color w:val="000000"/>
          <w:sz w:val="24"/>
          <w:szCs w:val="24"/>
        </w:rPr>
        <w:t xml:space="preserve"> on and explore effective learning strategies</w:t>
      </w:r>
    </w:p>
    <w:p w:rsidR="00295BBB" w:rsidRPr="000C6033" w:rsidRDefault="00295BBB" w:rsidP="00295BBB">
      <w:pPr>
        <w:pBdr>
          <w:top w:val="nil"/>
          <w:left w:val="nil"/>
          <w:bottom w:val="nil"/>
          <w:right w:val="nil"/>
          <w:between w:val="nil"/>
        </w:pBdr>
        <w:spacing w:after="0" w:line="240" w:lineRule="auto"/>
        <w:ind w:left="1080" w:hanging="360"/>
        <w:jc w:val="both"/>
        <w:rPr>
          <w:rFonts w:ascii="Times New Roman" w:eastAsia="Calibri" w:hAnsi="Times New Roman" w:cs="Times New Roman"/>
          <w:color w:val="000000"/>
          <w:sz w:val="24"/>
          <w:szCs w:val="24"/>
        </w:rPr>
      </w:pPr>
      <w:proofErr w:type="spellStart"/>
      <w:proofErr w:type="gramStart"/>
      <w:r w:rsidRPr="000C6033">
        <w:rPr>
          <w:rFonts w:ascii="Times New Roman" w:eastAsia="Calibri" w:hAnsi="Times New Roman" w:cs="Times New Roman"/>
          <w:color w:val="000000"/>
          <w:sz w:val="24"/>
          <w:szCs w:val="24"/>
        </w:rPr>
        <w:t>i</w:t>
      </w:r>
      <w:proofErr w:type="spellEnd"/>
      <w:r w:rsidRPr="000C6033">
        <w:rPr>
          <w:rFonts w:ascii="Times New Roman" w:eastAsia="Calibri"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0C6033">
        <w:rPr>
          <w:rFonts w:ascii="Times New Roman" w:eastAsia="Calibri" w:hAnsi="Times New Roman" w:cs="Times New Roman"/>
          <w:color w:val="000000"/>
          <w:sz w:val="24"/>
          <w:szCs w:val="24"/>
        </w:rPr>
        <w:t>participate</w:t>
      </w:r>
      <w:proofErr w:type="gramEnd"/>
      <w:r w:rsidRPr="000C6033">
        <w:rPr>
          <w:rFonts w:ascii="Times New Roman" w:eastAsia="Calibri" w:hAnsi="Times New Roman" w:cs="Times New Roman"/>
          <w:color w:val="000000"/>
          <w:sz w:val="24"/>
          <w:szCs w:val="24"/>
        </w:rPr>
        <w:t xml:space="preserve"> as a responsible citizen</w:t>
      </w:r>
    </w:p>
    <w:p w:rsidR="00295BBB" w:rsidRPr="000C6033" w:rsidRDefault="00295BBB" w:rsidP="00295BBB">
      <w:pPr>
        <w:pBdr>
          <w:top w:val="nil"/>
          <w:left w:val="nil"/>
          <w:bottom w:val="nil"/>
          <w:right w:val="nil"/>
          <w:between w:val="nil"/>
        </w:pBdr>
        <w:spacing w:after="0" w:line="240" w:lineRule="auto"/>
        <w:ind w:left="1080" w:hanging="360"/>
        <w:jc w:val="both"/>
        <w:rPr>
          <w:rFonts w:ascii="Times New Roman" w:eastAsia="Calibri" w:hAnsi="Times New Roman" w:cs="Times New Roman"/>
          <w:color w:val="000000"/>
          <w:sz w:val="24"/>
          <w:szCs w:val="24"/>
        </w:rPr>
      </w:pPr>
      <w:proofErr w:type="gramStart"/>
      <w:r w:rsidRPr="000C6033">
        <w:rPr>
          <w:rFonts w:ascii="Times New Roman" w:eastAsia="Calibri" w:hAnsi="Times New Roman" w:cs="Times New Roman"/>
          <w:color w:val="000000"/>
          <w:sz w:val="24"/>
          <w:szCs w:val="24"/>
        </w:rPr>
        <w:t>j)</w:t>
      </w:r>
      <w:r>
        <w:rPr>
          <w:rFonts w:ascii="Times New Roman" w:eastAsia="Times New Roman" w:hAnsi="Times New Roman" w:cs="Times New Roman"/>
          <w:color w:val="000000"/>
          <w:sz w:val="24"/>
          <w:szCs w:val="24"/>
        </w:rPr>
        <w:t xml:space="preserve">     </w:t>
      </w:r>
      <w:r w:rsidRPr="000C6033">
        <w:rPr>
          <w:rFonts w:ascii="Times New Roman" w:eastAsia="Calibri" w:hAnsi="Times New Roman" w:cs="Times New Roman"/>
          <w:color w:val="000000"/>
          <w:sz w:val="24"/>
          <w:szCs w:val="24"/>
        </w:rPr>
        <w:t>be</w:t>
      </w:r>
      <w:proofErr w:type="gramEnd"/>
      <w:r w:rsidRPr="000C6033">
        <w:rPr>
          <w:rFonts w:ascii="Times New Roman" w:eastAsia="Calibri" w:hAnsi="Times New Roman" w:cs="Times New Roman"/>
          <w:color w:val="000000"/>
          <w:sz w:val="24"/>
          <w:szCs w:val="24"/>
        </w:rPr>
        <w:t xml:space="preserve"> culturally and aesthetically sensitive</w:t>
      </w:r>
    </w:p>
    <w:p w:rsidR="00295BBB" w:rsidRPr="000C6033" w:rsidRDefault="00295BBB" w:rsidP="00295BBB">
      <w:pPr>
        <w:pBdr>
          <w:top w:val="nil"/>
          <w:left w:val="nil"/>
          <w:bottom w:val="nil"/>
          <w:right w:val="nil"/>
          <w:between w:val="nil"/>
        </w:pBdr>
        <w:spacing w:after="0" w:line="240" w:lineRule="auto"/>
        <w:ind w:left="1080" w:hanging="360"/>
        <w:jc w:val="both"/>
        <w:rPr>
          <w:rFonts w:ascii="Times New Roman" w:eastAsia="Calibri" w:hAnsi="Times New Roman" w:cs="Times New Roman"/>
          <w:color w:val="000000"/>
          <w:sz w:val="24"/>
          <w:szCs w:val="24"/>
        </w:rPr>
      </w:pPr>
      <w:proofErr w:type="gramStart"/>
      <w:r w:rsidRPr="000C6033">
        <w:rPr>
          <w:rFonts w:ascii="Times New Roman" w:eastAsia="Calibri" w:hAnsi="Times New Roman" w:cs="Times New Roman"/>
          <w:color w:val="000000"/>
          <w:sz w:val="24"/>
          <w:szCs w:val="24"/>
        </w:rPr>
        <w:t>k)</w:t>
      </w:r>
      <w:r w:rsidRPr="000C6033">
        <w:rPr>
          <w:rFonts w:ascii="Times New Roman" w:eastAsia="Times New Roman" w:hAnsi="Times New Roman" w:cs="Times New Roman"/>
          <w:color w:val="000000"/>
          <w:sz w:val="24"/>
          <w:szCs w:val="24"/>
        </w:rPr>
        <w:t xml:space="preserve">    </w:t>
      </w:r>
      <w:r w:rsidRPr="000C6033">
        <w:rPr>
          <w:rFonts w:ascii="Times New Roman" w:eastAsia="Calibri" w:hAnsi="Times New Roman" w:cs="Times New Roman"/>
          <w:color w:val="000000"/>
          <w:sz w:val="24"/>
          <w:szCs w:val="24"/>
        </w:rPr>
        <w:t>explore</w:t>
      </w:r>
      <w:proofErr w:type="gramEnd"/>
      <w:r w:rsidRPr="000C6033">
        <w:rPr>
          <w:rFonts w:ascii="Times New Roman" w:eastAsia="Calibri" w:hAnsi="Times New Roman" w:cs="Times New Roman"/>
          <w:color w:val="000000"/>
          <w:sz w:val="24"/>
          <w:szCs w:val="24"/>
        </w:rPr>
        <w:t xml:space="preserve"> education and career opportunities</w:t>
      </w:r>
    </w:p>
    <w:p w:rsidR="00295BBB" w:rsidRDefault="00295BBB" w:rsidP="00295BBB">
      <w:pPr>
        <w:pBdr>
          <w:top w:val="nil"/>
          <w:left w:val="nil"/>
          <w:bottom w:val="nil"/>
          <w:right w:val="nil"/>
          <w:between w:val="nil"/>
        </w:pBdr>
        <w:spacing w:after="0" w:line="240" w:lineRule="auto"/>
        <w:ind w:left="1080" w:hanging="360"/>
        <w:jc w:val="both"/>
        <w:rPr>
          <w:rFonts w:ascii="Times New Roman" w:eastAsia="Calibri" w:hAnsi="Times New Roman" w:cs="Times New Roman"/>
          <w:color w:val="000000"/>
          <w:sz w:val="24"/>
          <w:szCs w:val="24"/>
        </w:rPr>
      </w:pPr>
      <w:proofErr w:type="gramStart"/>
      <w:r w:rsidRPr="000C6033">
        <w:rPr>
          <w:rFonts w:ascii="Times New Roman" w:eastAsia="Calibri" w:hAnsi="Times New Roman" w:cs="Times New Roman"/>
          <w:color w:val="000000"/>
          <w:sz w:val="24"/>
          <w:szCs w:val="24"/>
        </w:rPr>
        <w:t>l)</w:t>
      </w:r>
      <w:r>
        <w:rPr>
          <w:rFonts w:ascii="Times New Roman" w:eastAsia="Times New Roman" w:hAnsi="Times New Roman" w:cs="Times New Roman"/>
          <w:color w:val="000000"/>
          <w:sz w:val="24"/>
          <w:szCs w:val="24"/>
        </w:rPr>
        <w:t xml:space="preserve">     </w:t>
      </w:r>
      <w:r w:rsidRPr="000C6033">
        <w:rPr>
          <w:rFonts w:ascii="Times New Roman" w:eastAsia="Calibri" w:hAnsi="Times New Roman" w:cs="Times New Roman"/>
          <w:color w:val="000000"/>
          <w:sz w:val="24"/>
          <w:szCs w:val="24"/>
        </w:rPr>
        <w:t>develop</w:t>
      </w:r>
      <w:proofErr w:type="gramEnd"/>
      <w:r w:rsidRPr="000C6033">
        <w:rPr>
          <w:rFonts w:ascii="Times New Roman" w:eastAsia="Calibri" w:hAnsi="Times New Roman" w:cs="Times New Roman"/>
          <w:color w:val="000000"/>
          <w:sz w:val="24"/>
          <w:szCs w:val="24"/>
        </w:rPr>
        <w:t xml:space="preserve"> entrepreneurial opportunities</w:t>
      </w:r>
    </w:p>
    <w:p w:rsidR="00295BBB" w:rsidRDefault="00295BBB" w:rsidP="00295BBB">
      <w:pPr>
        <w:pBdr>
          <w:top w:val="nil"/>
          <w:left w:val="nil"/>
          <w:bottom w:val="nil"/>
          <w:right w:val="nil"/>
          <w:between w:val="nil"/>
        </w:pBdr>
        <w:spacing w:after="0" w:line="240" w:lineRule="auto"/>
        <w:jc w:val="both"/>
        <w:rPr>
          <w:rFonts w:ascii="Times New Roman" w:eastAsia="Calibri" w:hAnsi="Times New Roman" w:cs="Times New Roman"/>
          <w:i/>
          <w:color w:val="000000"/>
          <w:sz w:val="24"/>
          <w:szCs w:val="24"/>
        </w:rPr>
        <w:sectPr w:rsidR="00295BBB">
          <w:pgSz w:w="12240" w:h="15840"/>
          <w:pgMar w:top="1440" w:right="1080" w:bottom="1440" w:left="1080" w:header="576" w:footer="432" w:gutter="0"/>
          <w:pgNumType w:start="0"/>
          <w:cols w:space="720"/>
          <w:titlePg/>
          <w:docGrid w:linePitch="360"/>
        </w:sectPr>
      </w:pPr>
    </w:p>
    <w:p w:rsidR="00295BBB" w:rsidRDefault="00295BBB" w:rsidP="00295BBB">
      <w:pPr>
        <w:pBdr>
          <w:top w:val="nil"/>
          <w:left w:val="nil"/>
          <w:bottom w:val="nil"/>
          <w:right w:val="nil"/>
          <w:between w:val="nil"/>
        </w:pBdr>
        <w:spacing w:after="0" w:line="240" w:lineRule="auto"/>
        <w:jc w:val="both"/>
        <w:rPr>
          <w:rFonts w:ascii="Times New Roman" w:eastAsia="Calibri" w:hAnsi="Times New Roman" w:cs="Times New Roman"/>
          <w:i/>
          <w:color w:val="000000"/>
          <w:sz w:val="24"/>
          <w:szCs w:val="24"/>
        </w:rPr>
      </w:pPr>
    </w:p>
    <w:p w:rsidR="00295BBB" w:rsidRDefault="00295BBB" w:rsidP="00295BBB">
      <w:pPr>
        <w:pBdr>
          <w:top w:val="nil"/>
          <w:left w:val="nil"/>
          <w:bottom w:val="nil"/>
          <w:right w:val="nil"/>
          <w:between w:val="nil"/>
        </w:pBdr>
        <w:spacing w:after="0"/>
        <w:jc w:val="both"/>
        <w:rPr>
          <w:rFonts w:ascii="Times New Roman" w:eastAsia="Calibri" w:hAnsi="Times New Roman" w:cs="Times New Roman"/>
          <w:b/>
          <w:color w:val="000000"/>
          <w:sz w:val="24"/>
          <w:szCs w:val="24"/>
        </w:rPr>
      </w:pPr>
    </w:p>
    <w:p w:rsidR="00295BBB" w:rsidRPr="009B4125" w:rsidRDefault="00295BBB" w:rsidP="00295BBB">
      <w:pPr>
        <w:pStyle w:val="ListParagraph"/>
        <w:numPr>
          <w:ilvl w:val="0"/>
          <w:numId w:val="3"/>
        </w:numPr>
        <w:pBdr>
          <w:top w:val="nil"/>
          <w:left w:val="nil"/>
          <w:bottom w:val="nil"/>
          <w:right w:val="nil"/>
          <w:between w:val="nil"/>
        </w:pBdr>
        <w:spacing w:after="0"/>
        <w:jc w:val="both"/>
        <w:rPr>
          <w:rFonts w:ascii="Times New Roman" w:eastAsia="Calibri" w:hAnsi="Times New Roman" w:cs="Times New Roman"/>
          <w:b/>
          <w:color w:val="000000"/>
          <w:sz w:val="28"/>
          <w:szCs w:val="28"/>
        </w:rPr>
      </w:pPr>
      <w:r w:rsidRPr="009B4125">
        <w:rPr>
          <w:rFonts w:ascii="Times New Roman" w:eastAsia="Calibri" w:hAnsi="Times New Roman" w:cs="Times New Roman"/>
          <w:b/>
          <w:color w:val="000000"/>
          <w:sz w:val="28"/>
          <w:szCs w:val="28"/>
        </w:rPr>
        <w:t>Teaching methods</w:t>
      </w:r>
    </w:p>
    <w:p w:rsidR="00295BBB" w:rsidRPr="000C6033" w:rsidRDefault="00295BBB" w:rsidP="00295BBB">
      <w:pPr>
        <w:pBdr>
          <w:top w:val="nil"/>
          <w:left w:val="nil"/>
          <w:bottom w:val="nil"/>
          <w:right w:val="nil"/>
          <w:between w:val="nil"/>
        </w:pBdr>
        <w:spacing w:after="0" w:line="240" w:lineRule="auto"/>
        <w:jc w:val="both"/>
        <w:rPr>
          <w:rFonts w:ascii="Times New Roman" w:eastAsia="Calibri" w:hAnsi="Times New Roman" w:cs="Times New Roman"/>
          <w:i/>
          <w:color w:val="000000"/>
          <w:sz w:val="24"/>
          <w:szCs w:val="24"/>
        </w:rPr>
      </w:pPr>
    </w:p>
    <w:p w:rsidR="00295BBB" w:rsidRDefault="00295BBB" w:rsidP="00295BBB">
      <w:pPr>
        <w:pBdr>
          <w:top w:val="nil"/>
          <w:left w:val="nil"/>
          <w:bottom w:val="nil"/>
          <w:right w:val="nil"/>
          <w:between w:val="nil"/>
        </w:pBdr>
        <w:spacing w:after="0" w:line="240" w:lineRule="auto"/>
        <w:jc w:val="both"/>
        <w:rPr>
          <w:rFonts w:ascii="Times New Roman" w:eastAsia="Calibri" w:hAnsi="Times New Roman" w:cs="Times New Roman"/>
          <w:i/>
          <w:color w:val="000000"/>
          <w:sz w:val="24"/>
          <w:szCs w:val="24"/>
        </w:rPr>
      </w:pPr>
      <w:r w:rsidRPr="000C6033">
        <w:rPr>
          <w:rFonts w:ascii="Times New Roman" w:eastAsia="Calibri" w:hAnsi="Times New Roman" w:cs="Times New Roman"/>
          <w:i/>
          <w:color w:val="000000"/>
          <w:sz w:val="24"/>
          <w:szCs w:val="24"/>
        </w:rPr>
        <w:t>In this section</w:t>
      </w:r>
      <w:r>
        <w:rPr>
          <w:rFonts w:ascii="Times New Roman" w:eastAsia="Calibri" w:hAnsi="Times New Roman" w:cs="Times New Roman"/>
          <w:i/>
          <w:color w:val="000000"/>
          <w:sz w:val="24"/>
          <w:szCs w:val="24"/>
        </w:rPr>
        <w:t>,</w:t>
      </w:r>
      <w:r w:rsidRPr="000C6033">
        <w:rPr>
          <w:rFonts w:ascii="Times New Roman" w:eastAsia="Calibri" w:hAnsi="Times New Roman" w:cs="Times New Roman"/>
          <w:i/>
          <w:color w:val="000000"/>
          <w:sz w:val="24"/>
          <w:szCs w:val="24"/>
        </w:rPr>
        <w:t xml:space="preserve"> you need to provide a clear indication of what teaching and learning methods (pedagogic strategies) you will use to ensure that your students are engaging with the concepts, materials, ideas </w:t>
      </w:r>
      <w:proofErr w:type="spellStart"/>
      <w:r w:rsidRPr="000C6033">
        <w:rPr>
          <w:rFonts w:ascii="Times New Roman" w:eastAsia="Calibri" w:hAnsi="Times New Roman" w:cs="Times New Roman"/>
          <w:i/>
          <w:color w:val="000000"/>
          <w:sz w:val="24"/>
          <w:szCs w:val="24"/>
        </w:rPr>
        <w:t>etc</w:t>
      </w:r>
      <w:proofErr w:type="spellEnd"/>
      <w:r w:rsidRPr="000C6033">
        <w:rPr>
          <w:rFonts w:ascii="Times New Roman" w:eastAsia="Calibri" w:hAnsi="Times New Roman" w:cs="Times New Roman"/>
          <w:i/>
          <w:color w:val="000000"/>
          <w:sz w:val="24"/>
          <w:szCs w:val="24"/>
        </w:rPr>
        <w:t xml:space="preserve"> in ways which will enable them to meet the purpose and outcomes of the course. This could include details of how lectures, tutorials, </w:t>
      </w:r>
      <w:proofErr w:type="spellStart"/>
      <w:r w:rsidRPr="000C6033">
        <w:rPr>
          <w:rFonts w:ascii="Times New Roman" w:eastAsia="Calibri" w:hAnsi="Times New Roman" w:cs="Times New Roman"/>
          <w:i/>
          <w:color w:val="000000"/>
          <w:sz w:val="24"/>
          <w:szCs w:val="24"/>
        </w:rPr>
        <w:t>practicals</w:t>
      </w:r>
      <w:proofErr w:type="spellEnd"/>
      <w:r w:rsidRPr="000C6033">
        <w:rPr>
          <w:rFonts w:ascii="Times New Roman" w:eastAsia="Calibri" w:hAnsi="Times New Roman" w:cs="Times New Roman"/>
          <w:i/>
          <w:color w:val="000000"/>
          <w:sz w:val="24"/>
          <w:szCs w:val="24"/>
        </w:rPr>
        <w:t>, service-learning etc. will be used in an integrated to way to promote deep approaches to learning (Biggs 2012)</w:t>
      </w:r>
      <w:r w:rsidRPr="000C6033">
        <w:rPr>
          <w:rFonts w:ascii="Times New Roman" w:eastAsia="Calibri" w:hAnsi="Times New Roman" w:cs="Times New Roman"/>
          <w:i/>
          <w:color w:val="000000"/>
          <w:sz w:val="24"/>
          <w:szCs w:val="24"/>
          <w:vertAlign w:val="superscript"/>
        </w:rPr>
        <w:footnoteReference w:id="2"/>
      </w:r>
      <w:r w:rsidRPr="000C6033">
        <w:rPr>
          <w:rFonts w:ascii="Times New Roman" w:eastAsia="Calibri" w:hAnsi="Times New Roman" w:cs="Times New Roman"/>
          <w:i/>
          <w:color w:val="000000"/>
          <w:sz w:val="24"/>
          <w:szCs w:val="24"/>
        </w:rPr>
        <w:t>.</w:t>
      </w:r>
    </w:p>
    <w:p w:rsidR="00295BBB" w:rsidRDefault="00295BBB" w:rsidP="00295BBB">
      <w:pPr>
        <w:pBdr>
          <w:top w:val="nil"/>
          <w:left w:val="nil"/>
          <w:bottom w:val="nil"/>
          <w:right w:val="nil"/>
          <w:between w:val="nil"/>
        </w:pBdr>
        <w:spacing w:after="0" w:line="240" w:lineRule="auto"/>
        <w:jc w:val="both"/>
        <w:rPr>
          <w:rFonts w:ascii="Times New Roman" w:eastAsia="Calibri" w:hAnsi="Times New Roman" w:cs="Times New Roman"/>
          <w:i/>
          <w:color w:val="000000"/>
          <w:sz w:val="24"/>
          <w:szCs w:val="24"/>
        </w:rPr>
      </w:pPr>
    </w:p>
    <w:p w:rsidR="00295BBB" w:rsidRPr="000C2D39" w:rsidRDefault="00295BBB" w:rsidP="00295BBB">
      <w:pPr>
        <w:pStyle w:val="ListParagraph"/>
        <w:numPr>
          <w:ilvl w:val="0"/>
          <w:numId w:val="1"/>
        </w:numPr>
        <w:pBdr>
          <w:top w:val="nil"/>
          <w:left w:val="nil"/>
          <w:bottom w:val="nil"/>
          <w:right w:val="nil"/>
          <w:between w:val="nil"/>
        </w:pBdr>
        <w:spacing w:after="0"/>
        <w:jc w:val="both"/>
        <w:rPr>
          <w:rFonts w:ascii="Times New Roman" w:eastAsia="Calibri" w:hAnsi="Times New Roman" w:cs="Times New Roman"/>
          <w:b/>
          <w:color w:val="000000"/>
          <w:sz w:val="28"/>
          <w:szCs w:val="28"/>
        </w:rPr>
      </w:pPr>
      <w:r w:rsidRPr="000C2D39">
        <w:rPr>
          <w:rFonts w:ascii="Times New Roman" w:eastAsia="Calibri" w:hAnsi="Times New Roman" w:cs="Times New Roman"/>
          <w:b/>
          <w:color w:val="000000"/>
          <w:sz w:val="28"/>
          <w:szCs w:val="28"/>
        </w:rPr>
        <w:t>Course/ Module content</w:t>
      </w:r>
    </w:p>
    <w:p w:rsidR="00295BBB" w:rsidRPr="00317F0F" w:rsidRDefault="00295BBB" w:rsidP="00295BBB">
      <w:pPr>
        <w:pStyle w:val="ListParagraph"/>
        <w:pBdr>
          <w:top w:val="nil"/>
          <w:left w:val="nil"/>
          <w:bottom w:val="nil"/>
          <w:right w:val="nil"/>
          <w:between w:val="nil"/>
        </w:pBdr>
        <w:spacing w:after="0"/>
        <w:ind w:left="643" w:firstLine="0"/>
        <w:jc w:val="both"/>
        <w:rPr>
          <w:rFonts w:ascii="Times New Roman" w:eastAsia="Calibri" w:hAnsi="Times New Roman" w:cs="Times New Roman"/>
          <w:b/>
          <w:color w:val="000000"/>
          <w:sz w:val="24"/>
          <w:szCs w:val="24"/>
        </w:rPr>
      </w:pPr>
    </w:p>
    <w:p w:rsidR="00295BBB" w:rsidRPr="000C6033" w:rsidRDefault="00295BBB" w:rsidP="00295BBB">
      <w:p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0C6033">
        <w:rPr>
          <w:rFonts w:ascii="Times New Roman" w:eastAsia="Calibri" w:hAnsi="Times New Roman" w:cs="Times New Roman"/>
          <w:i/>
          <w:color w:val="000000"/>
          <w:sz w:val="24"/>
          <w:szCs w:val="24"/>
        </w:rPr>
        <w:t>This section is about making explicit what ‘knowledge’ your students need in order to achieve the outcomes you have specified. You could provide a list of topics/subject areas to be covered with a brief explanation (one or two sentences) of each. It is important to consider the most appropriate sequence for introducing topics and how much time should be spent on each topic. If a course is broken down into a number of smaller modules, you could indicate the approximate credit value of each module</w:t>
      </w:r>
      <w:r w:rsidRPr="000C6033">
        <w:rPr>
          <w:rFonts w:ascii="Times New Roman" w:eastAsia="Calibri" w:hAnsi="Times New Roman" w:cs="Times New Roman"/>
          <w:color w:val="000000"/>
          <w:sz w:val="24"/>
          <w:szCs w:val="24"/>
        </w:rPr>
        <w:t>.</w:t>
      </w:r>
    </w:p>
    <w:p w:rsidR="00295BBB" w:rsidRDefault="00295BBB" w:rsidP="00295BBB">
      <w:pPr>
        <w:pBdr>
          <w:top w:val="nil"/>
          <w:left w:val="nil"/>
          <w:bottom w:val="nil"/>
          <w:right w:val="nil"/>
          <w:between w:val="nil"/>
        </w:pBdr>
        <w:spacing w:after="0"/>
        <w:ind w:left="283"/>
        <w:jc w:val="both"/>
        <w:rPr>
          <w:rFonts w:ascii="Times New Roman" w:eastAsia="Calibri" w:hAnsi="Times New Roman" w:cs="Times New Roman"/>
          <w:b/>
          <w:color w:val="000000"/>
          <w:sz w:val="24"/>
          <w:szCs w:val="24"/>
        </w:rPr>
      </w:pPr>
    </w:p>
    <w:p w:rsidR="00295BBB" w:rsidRPr="000C2D39" w:rsidRDefault="00295BBB" w:rsidP="00295BBB">
      <w:pPr>
        <w:pStyle w:val="ListParagraph"/>
        <w:numPr>
          <w:ilvl w:val="0"/>
          <w:numId w:val="1"/>
        </w:numPr>
        <w:pBdr>
          <w:top w:val="nil"/>
          <w:left w:val="nil"/>
          <w:bottom w:val="nil"/>
          <w:right w:val="nil"/>
          <w:between w:val="nil"/>
        </w:pBdr>
        <w:spacing w:after="0"/>
        <w:jc w:val="both"/>
        <w:rPr>
          <w:rFonts w:ascii="Times New Roman" w:eastAsia="Calibri" w:hAnsi="Times New Roman" w:cs="Times New Roman"/>
          <w:b/>
          <w:color w:val="000000"/>
          <w:sz w:val="28"/>
          <w:szCs w:val="28"/>
        </w:rPr>
      </w:pPr>
      <w:r w:rsidRPr="000C2D39">
        <w:rPr>
          <w:rFonts w:ascii="Times New Roman" w:eastAsia="Calibri" w:hAnsi="Times New Roman" w:cs="Times New Roman"/>
          <w:b/>
          <w:color w:val="000000"/>
          <w:sz w:val="28"/>
          <w:szCs w:val="28"/>
        </w:rPr>
        <w:t>Resources</w:t>
      </w:r>
    </w:p>
    <w:p w:rsidR="00295BBB" w:rsidRPr="000C6033" w:rsidRDefault="00295BBB" w:rsidP="00295BBB">
      <w:pPr>
        <w:pBdr>
          <w:top w:val="nil"/>
          <w:left w:val="nil"/>
          <w:bottom w:val="nil"/>
          <w:right w:val="nil"/>
          <w:between w:val="nil"/>
        </w:pBdr>
        <w:spacing w:after="0" w:line="240" w:lineRule="auto"/>
        <w:jc w:val="both"/>
        <w:rPr>
          <w:rFonts w:ascii="Times New Roman" w:eastAsia="Calibri" w:hAnsi="Times New Roman" w:cs="Times New Roman"/>
          <w:b/>
          <w:color w:val="000000"/>
          <w:sz w:val="24"/>
          <w:szCs w:val="24"/>
        </w:rPr>
      </w:pPr>
      <w:r w:rsidRPr="000C6033">
        <w:rPr>
          <w:rFonts w:ascii="Times New Roman" w:eastAsia="Calibri" w:hAnsi="Times New Roman" w:cs="Times New Roman"/>
          <w:b/>
          <w:color w:val="000000"/>
          <w:sz w:val="24"/>
          <w:szCs w:val="24"/>
        </w:rPr>
        <w:t xml:space="preserve"> </w:t>
      </w:r>
    </w:p>
    <w:p w:rsidR="00295BBB" w:rsidRDefault="00295BBB" w:rsidP="00295BBB">
      <w:pPr>
        <w:pBdr>
          <w:top w:val="nil"/>
          <w:left w:val="nil"/>
          <w:bottom w:val="nil"/>
          <w:right w:val="nil"/>
          <w:between w:val="nil"/>
        </w:pBdr>
        <w:spacing w:after="0" w:line="240" w:lineRule="auto"/>
        <w:jc w:val="both"/>
        <w:rPr>
          <w:rFonts w:ascii="Times New Roman" w:eastAsia="Calibri" w:hAnsi="Times New Roman" w:cs="Times New Roman"/>
          <w:i/>
          <w:color w:val="000000"/>
          <w:sz w:val="24"/>
          <w:szCs w:val="24"/>
        </w:rPr>
      </w:pPr>
      <w:r w:rsidRPr="00317F0F">
        <w:rPr>
          <w:rFonts w:ascii="Times New Roman" w:eastAsia="Calibri" w:hAnsi="Times New Roman" w:cs="Times New Roman"/>
          <w:i/>
          <w:color w:val="000000"/>
          <w:sz w:val="24"/>
          <w:szCs w:val="24"/>
        </w:rPr>
        <w:t>Lis</w:t>
      </w:r>
      <w:r w:rsidRPr="000C6033">
        <w:rPr>
          <w:rFonts w:ascii="Times New Roman" w:eastAsia="Calibri" w:hAnsi="Times New Roman" w:cs="Times New Roman"/>
          <w:i/>
          <w:color w:val="000000"/>
          <w:sz w:val="24"/>
          <w:szCs w:val="24"/>
        </w:rPr>
        <w:t xml:space="preserve">t the main texts, </w:t>
      </w:r>
      <w:r w:rsidRPr="000C6033">
        <w:rPr>
          <w:rFonts w:ascii="Times New Roman" w:eastAsia="Calibri" w:hAnsi="Times New Roman" w:cs="Times New Roman"/>
          <w:i/>
          <w:color w:val="000000"/>
          <w:sz w:val="24"/>
          <w:szCs w:val="24"/>
        </w:rPr>
        <w:t>textbooks</w:t>
      </w:r>
      <w:r w:rsidRPr="000C6033">
        <w:rPr>
          <w:rFonts w:ascii="Times New Roman" w:eastAsia="Calibri" w:hAnsi="Times New Roman" w:cs="Times New Roman"/>
          <w:i/>
          <w:color w:val="000000"/>
          <w:sz w:val="24"/>
          <w:szCs w:val="24"/>
        </w:rPr>
        <w:t>, key journal articles, teaching notes and any other teaching materials available to students, and which students are expected to access. The list could include library and digital resources and where appropriate, texts from the global South.</w:t>
      </w:r>
    </w:p>
    <w:p w:rsidR="00295BBB" w:rsidRDefault="00295BBB" w:rsidP="00295BBB">
      <w:pPr>
        <w:pBdr>
          <w:top w:val="nil"/>
          <w:left w:val="nil"/>
          <w:bottom w:val="nil"/>
          <w:right w:val="nil"/>
          <w:between w:val="nil"/>
        </w:pBdr>
        <w:spacing w:after="0" w:line="240" w:lineRule="auto"/>
        <w:jc w:val="both"/>
        <w:rPr>
          <w:rFonts w:ascii="Times New Roman" w:eastAsia="Calibri" w:hAnsi="Times New Roman" w:cs="Times New Roman"/>
          <w:i/>
          <w:color w:val="000000"/>
          <w:sz w:val="24"/>
          <w:szCs w:val="24"/>
        </w:rPr>
      </w:pPr>
    </w:p>
    <w:p w:rsidR="00295BBB" w:rsidRPr="000C2D39" w:rsidRDefault="00295BBB" w:rsidP="00295BBB">
      <w:pPr>
        <w:pStyle w:val="ListParagraph"/>
        <w:numPr>
          <w:ilvl w:val="0"/>
          <w:numId w:val="1"/>
        </w:numPr>
        <w:pBdr>
          <w:top w:val="nil"/>
          <w:left w:val="nil"/>
          <w:bottom w:val="nil"/>
          <w:right w:val="nil"/>
          <w:between w:val="nil"/>
        </w:pBdr>
        <w:spacing w:after="0"/>
        <w:jc w:val="both"/>
        <w:rPr>
          <w:rFonts w:ascii="Times New Roman" w:eastAsia="Calibri" w:hAnsi="Times New Roman" w:cs="Times New Roman"/>
          <w:b/>
          <w:color w:val="000000"/>
          <w:sz w:val="28"/>
          <w:szCs w:val="28"/>
        </w:rPr>
      </w:pPr>
      <w:r w:rsidRPr="000C2D39">
        <w:rPr>
          <w:rFonts w:ascii="Times New Roman" w:eastAsia="Calibri" w:hAnsi="Times New Roman" w:cs="Times New Roman"/>
          <w:b/>
          <w:color w:val="000000"/>
          <w:sz w:val="28"/>
          <w:szCs w:val="28"/>
        </w:rPr>
        <w:t xml:space="preserve">Assessment of student learning </w:t>
      </w:r>
    </w:p>
    <w:p w:rsidR="00295BBB" w:rsidRPr="000C6033" w:rsidRDefault="00295BBB" w:rsidP="00295BBB">
      <w:pPr>
        <w:pBdr>
          <w:top w:val="nil"/>
          <w:left w:val="nil"/>
          <w:bottom w:val="nil"/>
          <w:right w:val="nil"/>
          <w:between w:val="nil"/>
        </w:pBdr>
        <w:spacing w:after="0" w:line="240" w:lineRule="auto"/>
        <w:jc w:val="both"/>
        <w:rPr>
          <w:rFonts w:ascii="Times New Roman" w:eastAsia="Calibri" w:hAnsi="Times New Roman" w:cs="Times New Roman"/>
          <w:b/>
          <w:color w:val="000000"/>
          <w:sz w:val="24"/>
          <w:szCs w:val="24"/>
        </w:rPr>
      </w:pPr>
    </w:p>
    <w:p w:rsidR="00295BBB" w:rsidRPr="000C6033" w:rsidRDefault="00295BBB" w:rsidP="00295BBB">
      <w:pPr>
        <w:pBdr>
          <w:top w:val="nil"/>
          <w:left w:val="nil"/>
          <w:bottom w:val="nil"/>
          <w:right w:val="nil"/>
          <w:between w:val="nil"/>
        </w:pBdr>
        <w:spacing w:after="0" w:line="240" w:lineRule="auto"/>
        <w:jc w:val="both"/>
        <w:rPr>
          <w:rFonts w:ascii="Times New Roman" w:eastAsia="Calibri" w:hAnsi="Times New Roman" w:cs="Times New Roman"/>
          <w:i/>
          <w:color w:val="000000"/>
          <w:sz w:val="24"/>
          <w:szCs w:val="24"/>
        </w:rPr>
      </w:pPr>
      <w:r w:rsidRPr="000C6033">
        <w:rPr>
          <w:rFonts w:ascii="Times New Roman" w:eastAsia="Calibri" w:hAnsi="Times New Roman" w:cs="Times New Roman"/>
          <w:i/>
          <w:color w:val="000000"/>
          <w:sz w:val="24"/>
          <w:szCs w:val="24"/>
        </w:rPr>
        <w:t>In this section</w:t>
      </w:r>
      <w:r>
        <w:rPr>
          <w:rFonts w:ascii="Times New Roman" w:eastAsia="Calibri" w:hAnsi="Times New Roman" w:cs="Times New Roman"/>
          <w:i/>
          <w:color w:val="000000"/>
          <w:sz w:val="24"/>
          <w:szCs w:val="24"/>
        </w:rPr>
        <w:t>,</w:t>
      </w:r>
      <w:r w:rsidRPr="000C6033">
        <w:rPr>
          <w:rFonts w:ascii="Times New Roman" w:eastAsia="Calibri" w:hAnsi="Times New Roman" w:cs="Times New Roman"/>
          <w:i/>
          <w:color w:val="000000"/>
          <w:sz w:val="24"/>
          <w:szCs w:val="24"/>
        </w:rPr>
        <w:t xml:space="preserve"> you need to outline your overall assessment plan/strategy for the module or course.  You need to specify how student learning will be assessed both during the course (formative assessment) and at the end of the course (formative assessment). Included in this plan should be how assessment tasks are linked to learning outcomes, assessment criteria that will be used to assess students’ learning and how the range of assessment tasks will be weighted, </w:t>
      </w:r>
    </w:p>
    <w:p w:rsidR="00295BBB" w:rsidRPr="000C6033" w:rsidRDefault="00295BBB" w:rsidP="00295BBB">
      <w:pPr>
        <w:pBdr>
          <w:top w:val="nil"/>
          <w:left w:val="nil"/>
          <w:bottom w:val="nil"/>
          <w:right w:val="nil"/>
          <w:between w:val="nil"/>
        </w:pBdr>
        <w:spacing w:after="0" w:line="240" w:lineRule="auto"/>
        <w:jc w:val="both"/>
        <w:rPr>
          <w:rFonts w:ascii="Times New Roman" w:eastAsia="Calibri" w:hAnsi="Times New Roman" w:cs="Times New Roman"/>
          <w:i/>
          <w:color w:val="000000"/>
          <w:sz w:val="24"/>
          <w:szCs w:val="24"/>
        </w:rPr>
      </w:pPr>
    </w:p>
    <w:p w:rsidR="00295BBB" w:rsidRPr="000C6033" w:rsidRDefault="00295BBB" w:rsidP="00295BBB">
      <w:pPr>
        <w:pBdr>
          <w:top w:val="nil"/>
          <w:left w:val="nil"/>
          <w:bottom w:val="nil"/>
          <w:right w:val="nil"/>
          <w:between w:val="nil"/>
        </w:pBdr>
        <w:spacing w:after="0" w:line="240" w:lineRule="auto"/>
        <w:jc w:val="both"/>
        <w:rPr>
          <w:rFonts w:ascii="Times New Roman" w:eastAsia="Calibri" w:hAnsi="Times New Roman" w:cs="Times New Roman"/>
          <w:i/>
          <w:color w:val="000000"/>
          <w:sz w:val="24"/>
          <w:szCs w:val="24"/>
        </w:rPr>
      </w:pPr>
      <w:r w:rsidRPr="000C6033">
        <w:rPr>
          <w:rFonts w:ascii="Times New Roman" w:eastAsia="Calibri" w:hAnsi="Times New Roman" w:cs="Times New Roman"/>
          <w:i/>
          <w:color w:val="000000"/>
          <w:sz w:val="24"/>
          <w:szCs w:val="24"/>
        </w:rPr>
        <w:t xml:space="preserve">It is useful to think of assessment criteria as WHAT you need to see in order to be sure that students can meet the specified outcomes. Assessment tasks refer to HOW the evidence will be collected. </w:t>
      </w:r>
    </w:p>
    <w:p w:rsidR="00295BBB" w:rsidRPr="000C6033" w:rsidRDefault="00295BBB" w:rsidP="00295BBB">
      <w:pPr>
        <w:pBdr>
          <w:top w:val="nil"/>
          <w:left w:val="nil"/>
          <w:bottom w:val="nil"/>
          <w:right w:val="nil"/>
          <w:between w:val="nil"/>
        </w:pBdr>
        <w:spacing w:after="0" w:line="240" w:lineRule="auto"/>
        <w:jc w:val="both"/>
        <w:rPr>
          <w:rFonts w:ascii="Times New Roman" w:eastAsia="Calibri" w:hAnsi="Times New Roman" w:cs="Times New Roman"/>
          <w:i/>
          <w:color w:val="000000"/>
          <w:sz w:val="24"/>
          <w:szCs w:val="24"/>
        </w:rPr>
      </w:pPr>
    </w:p>
    <w:p w:rsidR="00295BBB" w:rsidRPr="000C6033" w:rsidRDefault="00295BBB" w:rsidP="00295BBB">
      <w:pPr>
        <w:pBdr>
          <w:top w:val="nil"/>
          <w:left w:val="nil"/>
          <w:bottom w:val="nil"/>
          <w:right w:val="nil"/>
          <w:between w:val="nil"/>
        </w:pBdr>
        <w:spacing w:after="0" w:line="240" w:lineRule="auto"/>
        <w:jc w:val="both"/>
        <w:rPr>
          <w:rFonts w:ascii="Times New Roman" w:eastAsia="Calibri" w:hAnsi="Times New Roman" w:cs="Times New Roman"/>
          <w:i/>
          <w:color w:val="000000"/>
          <w:sz w:val="24"/>
          <w:szCs w:val="24"/>
        </w:rPr>
      </w:pPr>
      <w:r w:rsidRPr="000C6033">
        <w:rPr>
          <w:rFonts w:ascii="Times New Roman" w:eastAsia="Calibri" w:hAnsi="Times New Roman" w:cs="Times New Roman"/>
          <w:i/>
          <w:color w:val="000000"/>
          <w:sz w:val="24"/>
          <w:szCs w:val="24"/>
        </w:rPr>
        <w:t xml:space="preserve">In order to design assessment criteria, it is important to consult the South African Qualifications Authority level descriptors for each of the HEQSF levels. These can be accessed at </w:t>
      </w:r>
      <w:hyperlink r:id="rId13">
        <w:r w:rsidRPr="000C6033">
          <w:rPr>
            <w:rFonts w:ascii="Times New Roman" w:eastAsia="Calibri" w:hAnsi="Times New Roman" w:cs="Times New Roman"/>
            <w:i/>
            <w:color w:val="0000FF"/>
            <w:sz w:val="24"/>
            <w:szCs w:val="24"/>
            <w:u w:val="single"/>
          </w:rPr>
          <w:t>http://www.saqa.org.za/docs/misc/2012/level_descriptors.pdf</w:t>
        </w:r>
      </w:hyperlink>
      <w:r w:rsidRPr="000C6033">
        <w:rPr>
          <w:rFonts w:ascii="Times New Roman" w:eastAsia="Calibri" w:hAnsi="Times New Roman" w:cs="Times New Roman"/>
          <w:i/>
          <w:color w:val="0000FF"/>
          <w:sz w:val="24"/>
          <w:szCs w:val="24"/>
        </w:rPr>
        <w:t xml:space="preserve"> </w:t>
      </w:r>
      <w:r w:rsidRPr="000C6033">
        <w:rPr>
          <w:rFonts w:ascii="Times New Roman" w:eastAsia="Calibri" w:hAnsi="Times New Roman" w:cs="Times New Roman"/>
          <w:i/>
          <w:color w:val="000000"/>
          <w:sz w:val="24"/>
          <w:szCs w:val="24"/>
          <w:vertAlign w:val="superscript"/>
        </w:rPr>
        <w:footnoteReference w:id="3"/>
      </w:r>
      <w:r w:rsidRPr="000C6033">
        <w:rPr>
          <w:rFonts w:ascii="Times New Roman" w:eastAsia="Calibri" w:hAnsi="Times New Roman" w:cs="Times New Roman"/>
          <w:i/>
          <w:color w:val="000000"/>
          <w:sz w:val="24"/>
          <w:szCs w:val="24"/>
        </w:rPr>
        <w:t xml:space="preserve">  </w:t>
      </w:r>
    </w:p>
    <w:p w:rsidR="00295BBB" w:rsidRDefault="00295BBB" w:rsidP="00295BBB">
      <w:pPr>
        <w:pBdr>
          <w:top w:val="nil"/>
          <w:left w:val="nil"/>
          <w:bottom w:val="nil"/>
          <w:right w:val="nil"/>
          <w:between w:val="nil"/>
        </w:pBdr>
        <w:spacing w:after="0" w:line="240" w:lineRule="auto"/>
        <w:jc w:val="both"/>
        <w:rPr>
          <w:rFonts w:ascii="Times New Roman" w:eastAsia="Calibri" w:hAnsi="Times New Roman" w:cs="Times New Roman"/>
          <w:i/>
          <w:color w:val="000000"/>
          <w:sz w:val="24"/>
          <w:szCs w:val="24"/>
        </w:rPr>
        <w:sectPr w:rsidR="00295BBB">
          <w:pgSz w:w="12240" w:h="15840"/>
          <w:pgMar w:top="1440" w:right="1080" w:bottom="1440" w:left="1080" w:header="576" w:footer="432" w:gutter="0"/>
          <w:pgNumType w:start="0"/>
          <w:cols w:space="720"/>
          <w:titlePg/>
          <w:docGrid w:linePitch="360"/>
        </w:sectPr>
      </w:pPr>
    </w:p>
    <w:p w:rsidR="00295BBB" w:rsidRPr="000C6033" w:rsidRDefault="00295BBB" w:rsidP="00295BBB">
      <w:pPr>
        <w:pBdr>
          <w:top w:val="nil"/>
          <w:left w:val="nil"/>
          <w:bottom w:val="nil"/>
          <w:right w:val="nil"/>
          <w:between w:val="nil"/>
        </w:pBdr>
        <w:spacing w:after="0" w:line="240" w:lineRule="auto"/>
        <w:jc w:val="both"/>
        <w:rPr>
          <w:rFonts w:ascii="Times New Roman" w:eastAsia="Calibri" w:hAnsi="Times New Roman" w:cs="Times New Roman"/>
          <w:i/>
          <w:color w:val="000000"/>
          <w:sz w:val="24"/>
          <w:szCs w:val="24"/>
        </w:rPr>
      </w:pPr>
    </w:p>
    <w:p w:rsidR="00295BBB" w:rsidRDefault="00295BBB" w:rsidP="00295BBB">
      <w:pPr>
        <w:pBdr>
          <w:top w:val="nil"/>
          <w:left w:val="nil"/>
          <w:bottom w:val="nil"/>
          <w:right w:val="nil"/>
          <w:between w:val="nil"/>
        </w:pBdr>
        <w:spacing w:after="0" w:line="240" w:lineRule="auto"/>
        <w:jc w:val="both"/>
        <w:rPr>
          <w:rFonts w:ascii="Times New Roman" w:eastAsia="Calibri" w:hAnsi="Times New Roman" w:cs="Times New Roman"/>
          <w:i/>
          <w:color w:val="000000"/>
          <w:sz w:val="24"/>
          <w:szCs w:val="24"/>
        </w:rPr>
      </w:pPr>
      <w:r w:rsidRPr="000C6033">
        <w:rPr>
          <w:rFonts w:ascii="Times New Roman" w:eastAsia="Calibri" w:hAnsi="Times New Roman" w:cs="Times New Roman"/>
          <w:i/>
          <w:color w:val="000000"/>
          <w:sz w:val="24"/>
          <w:szCs w:val="24"/>
        </w:rPr>
        <w:t xml:space="preserve">The table below may or may not be useful for your purposes. </w:t>
      </w:r>
    </w:p>
    <w:p w:rsidR="00295BBB" w:rsidRPr="000C6033" w:rsidRDefault="00295BBB" w:rsidP="00295BBB">
      <w:pPr>
        <w:pBdr>
          <w:top w:val="nil"/>
          <w:left w:val="nil"/>
          <w:bottom w:val="nil"/>
          <w:right w:val="nil"/>
          <w:between w:val="nil"/>
        </w:pBdr>
        <w:spacing w:after="0" w:line="240" w:lineRule="auto"/>
        <w:jc w:val="both"/>
        <w:rPr>
          <w:rFonts w:ascii="Times New Roman" w:eastAsia="Calibri" w:hAnsi="Times New Roman" w:cs="Times New Roman"/>
          <w:i/>
          <w:color w:val="000000"/>
          <w:sz w:val="24"/>
          <w:szCs w:val="24"/>
        </w:rPr>
      </w:pPr>
      <w:bookmarkStart w:id="0" w:name="_GoBack"/>
      <w:bookmarkEnd w:id="0"/>
    </w:p>
    <w:p w:rsidR="00295BBB" w:rsidRPr="000C6033" w:rsidRDefault="00295BBB" w:rsidP="00295BBB">
      <w:pPr>
        <w:pBdr>
          <w:top w:val="nil"/>
          <w:left w:val="nil"/>
          <w:bottom w:val="nil"/>
          <w:right w:val="nil"/>
          <w:between w:val="nil"/>
        </w:pBdr>
        <w:spacing w:after="0" w:line="240" w:lineRule="auto"/>
        <w:jc w:val="both"/>
        <w:rPr>
          <w:rFonts w:ascii="Times New Roman" w:eastAsia="Calibri" w:hAnsi="Times New Roman" w:cs="Times New Roman"/>
          <w:i/>
          <w:color w:val="000000"/>
          <w:sz w:val="24"/>
          <w:szCs w:val="24"/>
        </w:rPr>
      </w:pPr>
      <w:r w:rsidRPr="000C6033">
        <w:rPr>
          <w:rFonts w:ascii="Times New Roman" w:eastAsia="Calibri" w:hAnsi="Times New Roman" w:cs="Times New Roman"/>
          <w:i/>
          <w:color w:val="000000"/>
          <w:sz w:val="24"/>
          <w:szCs w:val="24"/>
        </w:rPr>
        <w:t xml:space="preserve"> </w:t>
      </w:r>
    </w:p>
    <w:tbl>
      <w:tblPr>
        <w:tblW w:w="8937" w:type="dxa"/>
        <w:tblInd w:w="133" w:type="dxa"/>
        <w:tblBorders>
          <w:top w:val="nil"/>
          <w:left w:val="nil"/>
          <w:bottom w:val="nil"/>
          <w:right w:val="nil"/>
          <w:insideH w:val="nil"/>
          <w:insideV w:val="nil"/>
        </w:tblBorders>
        <w:tblLayout w:type="fixed"/>
        <w:tblLook w:val="0600" w:firstRow="0" w:lastRow="0" w:firstColumn="0" w:lastColumn="0" w:noHBand="1" w:noVBand="1"/>
      </w:tblPr>
      <w:tblGrid>
        <w:gridCol w:w="2727"/>
        <w:gridCol w:w="2910"/>
        <w:gridCol w:w="3060"/>
        <w:gridCol w:w="240"/>
      </w:tblGrid>
      <w:tr w:rsidR="00295BBB" w:rsidRPr="000C6033" w:rsidTr="007F78E8">
        <w:trPr>
          <w:trHeight w:val="500"/>
        </w:trPr>
        <w:tc>
          <w:tcPr>
            <w:tcW w:w="2727" w:type="dxa"/>
            <w:vMerge w:val="restart"/>
            <w:tcBorders>
              <w:top w:val="single" w:sz="7" w:space="0" w:color="000000"/>
              <w:left w:val="single" w:sz="4" w:space="0" w:color="auto"/>
              <w:bottom w:val="single" w:sz="7" w:space="0" w:color="000000"/>
              <w:right w:val="single" w:sz="7" w:space="0" w:color="000000"/>
            </w:tcBorders>
            <w:tcMar>
              <w:top w:w="100" w:type="dxa"/>
              <w:left w:w="100" w:type="dxa"/>
              <w:bottom w:w="100" w:type="dxa"/>
              <w:right w:w="100" w:type="dxa"/>
            </w:tcMar>
          </w:tcPr>
          <w:p w:rsidR="00295BBB" w:rsidRPr="000C6033" w:rsidRDefault="00295BBB" w:rsidP="007F78E8">
            <w:pPr>
              <w:pBdr>
                <w:top w:val="nil"/>
                <w:left w:val="nil"/>
                <w:bottom w:val="nil"/>
                <w:right w:val="nil"/>
                <w:between w:val="nil"/>
              </w:pBdr>
              <w:spacing w:after="0" w:line="240" w:lineRule="auto"/>
              <w:jc w:val="both"/>
              <w:rPr>
                <w:rFonts w:ascii="Times New Roman" w:eastAsia="Calibri" w:hAnsi="Times New Roman" w:cs="Times New Roman"/>
                <w:b/>
                <w:color w:val="000000"/>
                <w:sz w:val="24"/>
                <w:szCs w:val="24"/>
              </w:rPr>
            </w:pPr>
            <w:r w:rsidRPr="000C6033">
              <w:rPr>
                <w:rFonts w:ascii="Times New Roman" w:eastAsia="Calibri" w:hAnsi="Times New Roman" w:cs="Times New Roman"/>
                <w:b/>
                <w:color w:val="000000"/>
                <w:sz w:val="24"/>
                <w:szCs w:val="24"/>
              </w:rPr>
              <w:t>Specific outcomes</w:t>
            </w:r>
          </w:p>
          <w:p w:rsidR="00295BBB" w:rsidRPr="000C6033" w:rsidRDefault="00295BBB" w:rsidP="007F78E8">
            <w:p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0C6033">
              <w:rPr>
                <w:rFonts w:ascii="Times New Roman" w:eastAsia="Calibri" w:hAnsi="Times New Roman" w:cs="Times New Roman"/>
                <w:color w:val="000000"/>
                <w:sz w:val="24"/>
                <w:szCs w:val="24"/>
              </w:rPr>
              <w:t>1.</w:t>
            </w:r>
          </w:p>
          <w:p w:rsidR="00295BBB" w:rsidRPr="000C6033" w:rsidRDefault="00295BBB" w:rsidP="007F78E8">
            <w:p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0C6033">
              <w:rPr>
                <w:rFonts w:ascii="Times New Roman" w:eastAsia="Calibri" w:hAnsi="Times New Roman" w:cs="Times New Roman"/>
                <w:color w:val="000000"/>
                <w:sz w:val="24"/>
                <w:szCs w:val="24"/>
              </w:rPr>
              <w:t>2.</w:t>
            </w:r>
          </w:p>
          <w:p w:rsidR="00295BBB" w:rsidRPr="000C6033" w:rsidRDefault="00295BBB" w:rsidP="007F78E8">
            <w:p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0C6033">
              <w:rPr>
                <w:rFonts w:ascii="Times New Roman" w:eastAsia="Calibri" w:hAnsi="Times New Roman" w:cs="Times New Roman"/>
                <w:color w:val="000000"/>
                <w:sz w:val="24"/>
                <w:szCs w:val="24"/>
              </w:rPr>
              <w:t>3.</w:t>
            </w:r>
          </w:p>
          <w:p w:rsidR="00295BBB" w:rsidRPr="000C6033" w:rsidRDefault="00295BBB" w:rsidP="007F78E8">
            <w:p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0C6033">
              <w:rPr>
                <w:rFonts w:ascii="Times New Roman" w:eastAsia="Calibri" w:hAnsi="Times New Roman" w:cs="Times New Roman"/>
                <w:color w:val="000000"/>
                <w:sz w:val="24"/>
                <w:szCs w:val="24"/>
              </w:rPr>
              <w:t>4.</w:t>
            </w:r>
          </w:p>
        </w:tc>
        <w:tc>
          <w:tcPr>
            <w:tcW w:w="291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295BBB" w:rsidRPr="000C6033" w:rsidRDefault="00295BBB" w:rsidP="007F78E8">
            <w:pPr>
              <w:pBdr>
                <w:top w:val="nil"/>
                <w:left w:val="nil"/>
                <w:bottom w:val="nil"/>
                <w:right w:val="nil"/>
                <w:between w:val="nil"/>
              </w:pBdr>
              <w:spacing w:after="0" w:line="240" w:lineRule="auto"/>
              <w:jc w:val="both"/>
              <w:rPr>
                <w:rFonts w:ascii="Times New Roman" w:eastAsia="Calibri" w:hAnsi="Times New Roman" w:cs="Times New Roman"/>
                <w:b/>
                <w:color w:val="000000"/>
                <w:sz w:val="24"/>
                <w:szCs w:val="24"/>
              </w:rPr>
            </w:pPr>
            <w:r w:rsidRPr="000C6033">
              <w:rPr>
                <w:rFonts w:ascii="Times New Roman" w:eastAsia="Calibri" w:hAnsi="Times New Roman" w:cs="Times New Roman"/>
                <w:b/>
                <w:color w:val="000000"/>
                <w:sz w:val="24"/>
                <w:szCs w:val="24"/>
              </w:rPr>
              <w:t>Assessment tasks</w:t>
            </w:r>
          </w:p>
        </w:tc>
        <w:tc>
          <w:tcPr>
            <w:tcW w:w="306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295BBB" w:rsidRPr="000C6033" w:rsidRDefault="00295BBB" w:rsidP="007F78E8">
            <w:pPr>
              <w:pBdr>
                <w:top w:val="nil"/>
                <w:left w:val="nil"/>
                <w:bottom w:val="nil"/>
                <w:right w:val="nil"/>
                <w:between w:val="nil"/>
              </w:pBdr>
              <w:spacing w:after="0" w:line="240" w:lineRule="auto"/>
              <w:jc w:val="both"/>
              <w:rPr>
                <w:rFonts w:ascii="Times New Roman" w:eastAsia="Calibri" w:hAnsi="Times New Roman" w:cs="Times New Roman"/>
                <w:b/>
                <w:color w:val="000000"/>
                <w:sz w:val="24"/>
                <w:szCs w:val="24"/>
              </w:rPr>
            </w:pPr>
            <w:r w:rsidRPr="000C6033">
              <w:rPr>
                <w:rFonts w:ascii="Times New Roman" w:eastAsia="Calibri" w:hAnsi="Times New Roman" w:cs="Times New Roman"/>
                <w:b/>
                <w:color w:val="000000"/>
                <w:sz w:val="24"/>
                <w:szCs w:val="24"/>
              </w:rPr>
              <w:t>Assessment criteria</w:t>
            </w:r>
          </w:p>
        </w:tc>
        <w:tc>
          <w:tcPr>
            <w:tcW w:w="240" w:type="dxa"/>
            <w:tcBorders>
              <w:top w:val="nil"/>
              <w:left w:val="nil"/>
              <w:bottom w:val="nil"/>
              <w:right w:val="nil"/>
            </w:tcBorders>
            <w:tcMar>
              <w:top w:w="100" w:type="dxa"/>
              <w:left w:w="100" w:type="dxa"/>
              <w:bottom w:w="100" w:type="dxa"/>
              <w:right w:w="100" w:type="dxa"/>
            </w:tcMar>
          </w:tcPr>
          <w:p w:rsidR="00295BBB" w:rsidRPr="000C6033" w:rsidRDefault="00295BBB" w:rsidP="007F78E8">
            <w:p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p>
        </w:tc>
      </w:tr>
      <w:tr w:rsidR="00295BBB" w:rsidRPr="000C6033" w:rsidTr="007F78E8">
        <w:trPr>
          <w:trHeight w:val="1480"/>
        </w:trPr>
        <w:tc>
          <w:tcPr>
            <w:tcW w:w="2727" w:type="dxa"/>
            <w:vMerge/>
            <w:tcBorders>
              <w:left w:val="single" w:sz="4" w:space="0" w:color="auto"/>
              <w:bottom w:val="single" w:sz="7" w:space="0" w:color="000000"/>
              <w:right w:val="single" w:sz="7" w:space="0" w:color="000000"/>
            </w:tcBorders>
            <w:shd w:val="clear" w:color="auto" w:fill="auto"/>
            <w:tcMar>
              <w:top w:w="100" w:type="dxa"/>
              <w:left w:w="100" w:type="dxa"/>
              <w:bottom w:w="100" w:type="dxa"/>
              <w:right w:w="100" w:type="dxa"/>
            </w:tcMar>
          </w:tcPr>
          <w:p w:rsidR="00295BBB" w:rsidRPr="000C6033" w:rsidRDefault="00295BBB" w:rsidP="007F78E8">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p>
        </w:tc>
        <w:tc>
          <w:tcPr>
            <w:tcW w:w="2910" w:type="dxa"/>
            <w:vMerge w:val="restart"/>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295BBB" w:rsidRPr="000C6033" w:rsidRDefault="00295BBB" w:rsidP="007F78E8">
            <w:pPr>
              <w:pBdr>
                <w:top w:val="nil"/>
                <w:left w:val="nil"/>
                <w:bottom w:val="nil"/>
                <w:right w:val="nil"/>
                <w:between w:val="nil"/>
              </w:pBdr>
              <w:spacing w:after="0" w:line="240" w:lineRule="auto"/>
              <w:jc w:val="both"/>
              <w:rPr>
                <w:rFonts w:ascii="Times New Roman" w:eastAsia="Calibri" w:hAnsi="Times New Roman" w:cs="Times New Roman"/>
                <w:b/>
                <w:color w:val="000000"/>
                <w:sz w:val="24"/>
                <w:szCs w:val="24"/>
              </w:rPr>
            </w:pPr>
            <w:r w:rsidRPr="000C6033">
              <w:rPr>
                <w:rFonts w:ascii="Times New Roman" w:eastAsia="Calibri" w:hAnsi="Times New Roman" w:cs="Times New Roman"/>
                <w:b/>
                <w:color w:val="000000"/>
                <w:sz w:val="24"/>
                <w:szCs w:val="24"/>
              </w:rPr>
              <w:t xml:space="preserve"> </w:t>
            </w:r>
          </w:p>
        </w:tc>
        <w:tc>
          <w:tcPr>
            <w:tcW w:w="3060" w:type="dxa"/>
            <w:vMerge w:val="restart"/>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rsidR="00295BBB" w:rsidRPr="000C6033" w:rsidRDefault="00295BBB" w:rsidP="007F78E8">
            <w:pPr>
              <w:pBdr>
                <w:top w:val="nil"/>
                <w:left w:val="nil"/>
                <w:bottom w:val="nil"/>
                <w:right w:val="nil"/>
                <w:between w:val="nil"/>
              </w:pBdr>
              <w:spacing w:after="0" w:line="240" w:lineRule="auto"/>
              <w:jc w:val="both"/>
              <w:rPr>
                <w:rFonts w:ascii="Times New Roman" w:eastAsia="Calibri" w:hAnsi="Times New Roman" w:cs="Times New Roman"/>
                <w:b/>
                <w:color w:val="000000"/>
                <w:sz w:val="24"/>
                <w:szCs w:val="24"/>
              </w:rPr>
            </w:pPr>
          </w:p>
        </w:tc>
        <w:tc>
          <w:tcPr>
            <w:tcW w:w="240" w:type="dxa"/>
            <w:tcBorders>
              <w:top w:val="nil"/>
              <w:left w:val="nil"/>
              <w:bottom w:val="nil"/>
              <w:right w:val="nil"/>
            </w:tcBorders>
            <w:shd w:val="clear" w:color="auto" w:fill="auto"/>
            <w:tcMar>
              <w:top w:w="100" w:type="dxa"/>
              <w:left w:w="100" w:type="dxa"/>
              <w:bottom w:w="100" w:type="dxa"/>
              <w:right w:w="100" w:type="dxa"/>
            </w:tcMar>
          </w:tcPr>
          <w:p w:rsidR="00295BBB" w:rsidRPr="000C6033" w:rsidRDefault="00295BBB" w:rsidP="007F78E8">
            <w:p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p>
        </w:tc>
      </w:tr>
      <w:tr w:rsidR="00295BBB" w:rsidRPr="000C6033" w:rsidTr="007F78E8">
        <w:trPr>
          <w:trHeight w:val="1580"/>
        </w:trPr>
        <w:tc>
          <w:tcPr>
            <w:tcW w:w="2727" w:type="dxa"/>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295BBB" w:rsidRPr="000C6033" w:rsidRDefault="00295BBB" w:rsidP="007F78E8">
            <w:pPr>
              <w:pBdr>
                <w:top w:val="nil"/>
                <w:left w:val="nil"/>
                <w:bottom w:val="nil"/>
                <w:right w:val="nil"/>
                <w:between w:val="nil"/>
              </w:pBdr>
              <w:spacing w:after="0" w:line="240" w:lineRule="auto"/>
              <w:jc w:val="both"/>
              <w:rPr>
                <w:rFonts w:ascii="Times New Roman" w:eastAsia="Calibri" w:hAnsi="Times New Roman" w:cs="Times New Roman"/>
                <w:b/>
                <w:color w:val="000000"/>
                <w:sz w:val="24"/>
                <w:szCs w:val="24"/>
              </w:rPr>
            </w:pPr>
            <w:r w:rsidRPr="000C6033">
              <w:rPr>
                <w:rFonts w:ascii="Times New Roman" w:eastAsia="Calibri" w:hAnsi="Times New Roman" w:cs="Times New Roman"/>
                <w:b/>
                <w:color w:val="000000"/>
                <w:sz w:val="24"/>
                <w:szCs w:val="24"/>
              </w:rPr>
              <w:t>Critical Cross-Field Outcomes</w:t>
            </w:r>
          </w:p>
          <w:p w:rsidR="00295BBB" w:rsidRPr="000C6033" w:rsidRDefault="00295BBB" w:rsidP="007F78E8">
            <w:p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0C6033">
              <w:rPr>
                <w:rFonts w:ascii="Times New Roman" w:eastAsia="Calibri" w:hAnsi="Times New Roman" w:cs="Times New Roman"/>
                <w:color w:val="000000"/>
                <w:sz w:val="24"/>
                <w:szCs w:val="24"/>
              </w:rPr>
              <w:t>1.</w:t>
            </w:r>
          </w:p>
          <w:p w:rsidR="00295BBB" w:rsidRPr="000C6033" w:rsidRDefault="00295BBB" w:rsidP="007F78E8">
            <w:p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0C6033">
              <w:rPr>
                <w:rFonts w:ascii="Times New Roman" w:eastAsia="Calibri" w:hAnsi="Times New Roman" w:cs="Times New Roman"/>
                <w:color w:val="000000"/>
                <w:sz w:val="24"/>
                <w:szCs w:val="24"/>
              </w:rPr>
              <w:t>2.</w:t>
            </w:r>
          </w:p>
          <w:p w:rsidR="00295BBB" w:rsidRPr="000C6033" w:rsidRDefault="00295BBB" w:rsidP="007F78E8">
            <w:p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0C6033">
              <w:rPr>
                <w:rFonts w:ascii="Times New Roman" w:eastAsia="Calibri" w:hAnsi="Times New Roman" w:cs="Times New Roman"/>
                <w:color w:val="000000"/>
                <w:sz w:val="24"/>
                <w:szCs w:val="24"/>
              </w:rPr>
              <w:t>3.</w:t>
            </w:r>
          </w:p>
          <w:p w:rsidR="00295BBB" w:rsidRPr="000C6033" w:rsidRDefault="00295BBB" w:rsidP="007F78E8">
            <w:p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0C6033">
              <w:rPr>
                <w:rFonts w:ascii="Times New Roman" w:eastAsia="Calibri" w:hAnsi="Times New Roman" w:cs="Times New Roman"/>
                <w:color w:val="000000"/>
                <w:sz w:val="24"/>
                <w:szCs w:val="24"/>
              </w:rPr>
              <w:t>4.</w:t>
            </w:r>
          </w:p>
        </w:tc>
        <w:tc>
          <w:tcPr>
            <w:tcW w:w="2910" w:type="dxa"/>
            <w:vMerge/>
            <w:tcBorders>
              <w:bottom w:val="single" w:sz="7" w:space="0" w:color="000000"/>
              <w:right w:val="single" w:sz="7" w:space="0" w:color="000000"/>
            </w:tcBorders>
            <w:shd w:val="clear" w:color="auto" w:fill="auto"/>
            <w:tcMar>
              <w:top w:w="100" w:type="dxa"/>
              <w:left w:w="100" w:type="dxa"/>
              <w:bottom w:w="100" w:type="dxa"/>
              <w:right w:w="100" w:type="dxa"/>
            </w:tcMar>
          </w:tcPr>
          <w:p w:rsidR="00295BBB" w:rsidRPr="000C6033" w:rsidRDefault="00295BBB" w:rsidP="007F78E8">
            <w:p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p>
        </w:tc>
        <w:tc>
          <w:tcPr>
            <w:tcW w:w="3060" w:type="dxa"/>
            <w:vMerge/>
            <w:tcBorders>
              <w:bottom w:val="single" w:sz="7" w:space="0" w:color="000000"/>
              <w:right w:val="single" w:sz="7" w:space="0" w:color="000000"/>
            </w:tcBorders>
            <w:shd w:val="clear" w:color="auto" w:fill="auto"/>
            <w:tcMar>
              <w:top w:w="100" w:type="dxa"/>
              <w:left w:w="100" w:type="dxa"/>
              <w:bottom w:w="100" w:type="dxa"/>
              <w:right w:w="100" w:type="dxa"/>
            </w:tcMar>
          </w:tcPr>
          <w:p w:rsidR="00295BBB" w:rsidRPr="000C6033" w:rsidRDefault="00295BBB" w:rsidP="007F78E8">
            <w:p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p>
        </w:tc>
        <w:tc>
          <w:tcPr>
            <w:tcW w:w="240" w:type="dxa"/>
            <w:tcBorders>
              <w:top w:val="nil"/>
              <w:left w:val="nil"/>
              <w:bottom w:val="nil"/>
              <w:right w:val="nil"/>
            </w:tcBorders>
            <w:shd w:val="clear" w:color="auto" w:fill="auto"/>
            <w:tcMar>
              <w:top w:w="100" w:type="dxa"/>
              <w:left w:w="100" w:type="dxa"/>
              <w:bottom w:w="100" w:type="dxa"/>
              <w:right w:w="100" w:type="dxa"/>
            </w:tcMar>
          </w:tcPr>
          <w:p w:rsidR="00295BBB" w:rsidRPr="000C6033" w:rsidRDefault="00295BBB" w:rsidP="007F78E8">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p>
        </w:tc>
      </w:tr>
    </w:tbl>
    <w:p w:rsidR="00295BBB" w:rsidRPr="000C6033" w:rsidRDefault="00295BBB" w:rsidP="00295BBB">
      <w:pPr>
        <w:pBdr>
          <w:top w:val="nil"/>
          <w:left w:val="nil"/>
          <w:bottom w:val="nil"/>
          <w:right w:val="nil"/>
          <w:between w:val="nil"/>
        </w:pBdr>
        <w:spacing w:after="0" w:line="240" w:lineRule="auto"/>
        <w:jc w:val="both"/>
        <w:rPr>
          <w:rFonts w:ascii="Times New Roman" w:eastAsia="Calibri" w:hAnsi="Times New Roman" w:cs="Times New Roman"/>
          <w:b/>
          <w:color w:val="000000"/>
          <w:sz w:val="24"/>
          <w:szCs w:val="24"/>
        </w:rPr>
      </w:pPr>
      <w:r w:rsidRPr="000C6033">
        <w:rPr>
          <w:rFonts w:ascii="Times New Roman" w:eastAsia="Calibri" w:hAnsi="Times New Roman" w:cs="Times New Roman"/>
          <w:color w:val="000000"/>
          <w:sz w:val="24"/>
          <w:szCs w:val="24"/>
        </w:rPr>
        <w:t xml:space="preserve"> </w:t>
      </w:r>
      <w:r w:rsidRPr="000C6033">
        <w:rPr>
          <w:rFonts w:ascii="Times New Roman" w:eastAsia="Calibri" w:hAnsi="Times New Roman" w:cs="Times New Roman"/>
          <w:b/>
          <w:color w:val="000000"/>
          <w:sz w:val="24"/>
          <w:szCs w:val="24"/>
        </w:rPr>
        <w:t xml:space="preserve"> </w:t>
      </w:r>
    </w:p>
    <w:p w:rsidR="00295BBB" w:rsidRDefault="00295BBB" w:rsidP="00295BBB">
      <w:pPr>
        <w:pBdr>
          <w:top w:val="nil"/>
          <w:left w:val="nil"/>
          <w:bottom w:val="nil"/>
          <w:right w:val="nil"/>
          <w:between w:val="nil"/>
        </w:pBdr>
        <w:spacing w:after="0" w:line="240" w:lineRule="auto"/>
        <w:jc w:val="both"/>
        <w:rPr>
          <w:rFonts w:ascii="Times New Roman" w:eastAsia="Calibri" w:hAnsi="Times New Roman" w:cs="Times New Roman"/>
          <w:b/>
          <w:color w:val="000000"/>
          <w:sz w:val="24"/>
          <w:szCs w:val="24"/>
        </w:rPr>
      </w:pPr>
      <w:r w:rsidRPr="000C6033">
        <w:rPr>
          <w:rFonts w:ascii="Times New Roman" w:eastAsia="Calibri" w:hAnsi="Times New Roman" w:cs="Times New Roman"/>
          <w:b/>
          <w:color w:val="000000"/>
          <w:sz w:val="24"/>
          <w:szCs w:val="24"/>
        </w:rPr>
        <w:t xml:space="preserve"> </w:t>
      </w:r>
    </w:p>
    <w:p w:rsidR="00295BBB" w:rsidRPr="00B065B0" w:rsidRDefault="00295BBB" w:rsidP="00295BBB">
      <w:pPr>
        <w:pStyle w:val="ListParagraph"/>
        <w:numPr>
          <w:ilvl w:val="0"/>
          <w:numId w:val="1"/>
        </w:numPr>
        <w:pBdr>
          <w:top w:val="nil"/>
          <w:left w:val="nil"/>
          <w:bottom w:val="nil"/>
          <w:right w:val="nil"/>
          <w:between w:val="nil"/>
        </w:pBdr>
        <w:spacing w:after="0"/>
        <w:jc w:val="both"/>
        <w:rPr>
          <w:rFonts w:ascii="Times New Roman" w:eastAsia="Calibri" w:hAnsi="Times New Roman" w:cs="Times New Roman"/>
          <w:b/>
          <w:color w:val="000000"/>
          <w:sz w:val="28"/>
          <w:szCs w:val="28"/>
        </w:rPr>
      </w:pPr>
      <w:r w:rsidRPr="00B065B0">
        <w:rPr>
          <w:rFonts w:ascii="Times New Roman" w:eastAsia="Calibri" w:hAnsi="Times New Roman" w:cs="Times New Roman"/>
          <w:b/>
          <w:color w:val="000000"/>
          <w:sz w:val="28"/>
          <w:szCs w:val="28"/>
        </w:rPr>
        <w:t xml:space="preserve">Evaluation of module and/or teaching </w:t>
      </w:r>
    </w:p>
    <w:p w:rsidR="00295BBB" w:rsidRPr="000C6033" w:rsidRDefault="00295BBB" w:rsidP="00295BBB">
      <w:pPr>
        <w:pBdr>
          <w:top w:val="nil"/>
          <w:left w:val="nil"/>
          <w:bottom w:val="nil"/>
          <w:right w:val="nil"/>
          <w:between w:val="nil"/>
        </w:pBdr>
        <w:spacing w:after="0" w:line="240" w:lineRule="auto"/>
        <w:jc w:val="both"/>
        <w:rPr>
          <w:rFonts w:ascii="Times New Roman" w:eastAsia="Calibri" w:hAnsi="Times New Roman" w:cs="Times New Roman"/>
          <w:b/>
          <w:color w:val="000000"/>
          <w:sz w:val="24"/>
          <w:szCs w:val="24"/>
        </w:rPr>
      </w:pPr>
    </w:p>
    <w:p w:rsidR="00295BBB" w:rsidRPr="000C6033" w:rsidRDefault="00295BBB" w:rsidP="00295BBB">
      <w:pPr>
        <w:pBdr>
          <w:top w:val="nil"/>
          <w:left w:val="nil"/>
          <w:bottom w:val="nil"/>
          <w:right w:val="nil"/>
          <w:between w:val="nil"/>
        </w:pBdr>
        <w:spacing w:after="0" w:line="240" w:lineRule="auto"/>
        <w:jc w:val="both"/>
        <w:rPr>
          <w:rFonts w:ascii="Times New Roman" w:eastAsia="Calibri" w:hAnsi="Times New Roman" w:cs="Times New Roman"/>
          <w:i/>
          <w:color w:val="000000"/>
          <w:sz w:val="24"/>
          <w:szCs w:val="24"/>
        </w:rPr>
      </w:pPr>
      <w:r w:rsidRPr="000C6033">
        <w:rPr>
          <w:rFonts w:ascii="Times New Roman" w:eastAsia="Calibri" w:hAnsi="Times New Roman" w:cs="Times New Roman"/>
          <w:i/>
          <w:color w:val="000000"/>
          <w:sz w:val="24"/>
          <w:szCs w:val="24"/>
        </w:rPr>
        <w:t xml:space="preserve">Here details of the way/s you intend to elicit feedback from your students on the course and on your teaching need to be provided.  This section should include details of the way in which feedback data could contribute to an overall evaluation of your course and how you </w:t>
      </w:r>
      <w:proofErr w:type="spellStart"/>
      <w:r w:rsidRPr="000C6033">
        <w:rPr>
          <w:rFonts w:ascii="Times New Roman" w:eastAsia="Calibri" w:hAnsi="Times New Roman" w:cs="Times New Roman"/>
          <w:i/>
          <w:color w:val="000000"/>
          <w:sz w:val="24"/>
          <w:szCs w:val="24"/>
        </w:rPr>
        <w:t>you</w:t>
      </w:r>
      <w:proofErr w:type="spellEnd"/>
      <w:r w:rsidRPr="000C6033">
        <w:rPr>
          <w:rFonts w:ascii="Times New Roman" w:eastAsia="Calibri" w:hAnsi="Times New Roman" w:cs="Times New Roman"/>
          <w:i/>
          <w:color w:val="000000"/>
          <w:sz w:val="24"/>
          <w:szCs w:val="24"/>
        </w:rPr>
        <w:t xml:space="preserve"> will inform your students of your response to their feedback. This section could also include information on how you intend to ensure that students are given ample opportunities to provide input into future curriculum decision-making. See the Rhodes University Policy on the Evaluation of Teaching and Courses </w:t>
      </w:r>
      <w:hyperlink r:id="rId14">
        <w:r w:rsidRPr="000C6033">
          <w:rPr>
            <w:rFonts w:ascii="Times New Roman" w:eastAsia="Calibri" w:hAnsi="Times New Roman" w:cs="Times New Roman"/>
            <w:i/>
            <w:color w:val="1155CC"/>
            <w:sz w:val="24"/>
            <w:szCs w:val="24"/>
            <w:u w:val="single"/>
          </w:rPr>
          <w:t>http://www.ru.ac.za/media/rhodesuniversity/content/institutionalplanning/documents/Evaluation%20of%20Teaching%20and%20Courses.pdf</w:t>
        </w:r>
      </w:hyperlink>
    </w:p>
    <w:p w:rsidR="00295BBB" w:rsidRPr="00AE6F3B" w:rsidRDefault="00295BBB" w:rsidP="00295BBB">
      <w:pPr>
        <w:pBdr>
          <w:top w:val="nil"/>
          <w:left w:val="nil"/>
          <w:bottom w:val="nil"/>
          <w:right w:val="nil"/>
          <w:between w:val="nil"/>
        </w:pBdr>
        <w:spacing w:after="0" w:line="240" w:lineRule="auto"/>
        <w:jc w:val="both"/>
        <w:rPr>
          <w:rFonts w:ascii="Times New Roman" w:eastAsia="Calibri" w:hAnsi="Times New Roman" w:cs="Times New Roman"/>
          <w:color w:val="000000"/>
          <w:sz w:val="24"/>
          <w:szCs w:val="24"/>
        </w:rPr>
      </w:pPr>
      <w:r w:rsidRPr="00317F0F">
        <w:rPr>
          <w:rFonts w:ascii="Times New Roman" w:eastAsia="Calibri" w:hAnsi="Times New Roman" w:cs="Times New Roman"/>
          <w:i/>
          <w:color w:val="000000"/>
          <w:sz w:val="24"/>
          <w:szCs w:val="24"/>
        </w:rPr>
        <w:t xml:space="preserve"> </w:t>
      </w:r>
      <w:proofErr w:type="gramStart"/>
      <w:r w:rsidRPr="00317F0F">
        <w:rPr>
          <w:rFonts w:ascii="Times New Roman" w:eastAsia="Calibri" w:hAnsi="Times New Roman" w:cs="Times New Roman"/>
          <w:i/>
          <w:color w:val="000000"/>
          <w:sz w:val="24"/>
          <w:szCs w:val="24"/>
        </w:rPr>
        <w:t>and</w:t>
      </w:r>
      <w:proofErr w:type="gramEnd"/>
      <w:r w:rsidRPr="00317F0F">
        <w:rPr>
          <w:rFonts w:ascii="Times New Roman" w:eastAsia="Calibri" w:hAnsi="Times New Roman" w:cs="Times New Roman"/>
          <w:i/>
          <w:color w:val="000000"/>
          <w:sz w:val="24"/>
          <w:szCs w:val="24"/>
        </w:rPr>
        <w:t xml:space="preserve"> the collection of Rhodes case studies of evaluation practices:</w:t>
      </w:r>
      <w:r w:rsidRPr="000C6033">
        <w:rPr>
          <w:rFonts w:ascii="Times New Roman" w:eastAsia="Calibri" w:hAnsi="Times New Roman" w:cs="Times New Roman"/>
          <w:color w:val="000000"/>
          <w:sz w:val="24"/>
          <w:szCs w:val="24"/>
        </w:rPr>
        <w:t xml:space="preserve"> </w:t>
      </w:r>
      <w:hyperlink r:id="rId15" w:history="1">
        <w:r w:rsidRPr="00AE6F3B">
          <w:rPr>
            <w:rStyle w:val="Hyperlink"/>
            <w:rFonts w:ascii="Times New Roman" w:eastAsia="Calibri" w:hAnsi="Times New Roman" w:cs="Times New Roman"/>
            <w:sz w:val="24"/>
            <w:szCs w:val="24"/>
          </w:rPr>
          <w:t>http://www.ru.ac.za/teachingandlearning/aside/</w:t>
        </w:r>
      </w:hyperlink>
    </w:p>
    <w:p w:rsidR="00317264" w:rsidRDefault="00317264"/>
    <w:sectPr w:rsidR="00317264">
      <w:pgSz w:w="12240" w:h="15840"/>
      <w:pgMar w:top="1440" w:right="1080" w:bottom="1440" w:left="1080" w:header="576" w:footer="432"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BBB" w:rsidRDefault="00295BBB" w:rsidP="00295BBB">
      <w:pPr>
        <w:spacing w:after="0" w:line="240" w:lineRule="auto"/>
      </w:pPr>
      <w:r>
        <w:separator/>
      </w:r>
    </w:p>
  </w:endnote>
  <w:endnote w:type="continuationSeparator" w:id="0">
    <w:p w:rsidR="00295BBB" w:rsidRDefault="00295BBB" w:rsidP="00295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BBB" w:rsidRDefault="00295BBB">
    <w:pPr>
      <w:pStyle w:val="Footer"/>
      <w:jc w:val="right"/>
    </w:pPr>
  </w:p>
  <w:p w:rsidR="00295BBB" w:rsidRDefault="00295BB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BBB" w:rsidRDefault="00295BBB" w:rsidP="00295BBB">
      <w:pPr>
        <w:spacing w:after="0" w:line="240" w:lineRule="auto"/>
      </w:pPr>
      <w:r>
        <w:separator/>
      </w:r>
    </w:p>
  </w:footnote>
  <w:footnote w:type="continuationSeparator" w:id="0">
    <w:p w:rsidR="00295BBB" w:rsidRDefault="00295BBB" w:rsidP="00295BBB">
      <w:pPr>
        <w:spacing w:after="0" w:line="240" w:lineRule="auto"/>
      </w:pPr>
      <w:r>
        <w:continuationSeparator/>
      </w:r>
    </w:p>
  </w:footnote>
  <w:footnote w:id="1">
    <w:p w:rsidR="00295BBB" w:rsidRDefault="00295BBB" w:rsidP="00295BBB">
      <w:pPr>
        <w:pStyle w:val="Normal1"/>
        <w:rPr>
          <w:sz w:val="20"/>
          <w:szCs w:val="20"/>
        </w:rPr>
      </w:pPr>
      <w:r>
        <w:rPr>
          <w:vertAlign w:val="superscript"/>
        </w:rPr>
        <w:footnoteRef/>
      </w:r>
      <w:r>
        <w:rPr>
          <w:sz w:val="20"/>
          <w:szCs w:val="20"/>
        </w:rPr>
        <w:t xml:space="preserve"> </w:t>
      </w:r>
      <w:r w:rsidRPr="002B13B3">
        <w:rPr>
          <w:rFonts w:ascii="Times New Roman" w:hAnsi="Times New Roman" w:cs="Times New Roman"/>
          <w:sz w:val="18"/>
          <w:szCs w:val="18"/>
        </w:rPr>
        <w:t>The text in italics under the headings is intended as a guide for what could be included under each heading. It should be deleted once rea</w:t>
      </w:r>
      <w:r>
        <w:rPr>
          <w:sz w:val="20"/>
          <w:szCs w:val="20"/>
        </w:rPr>
        <w:t xml:space="preserve">d. </w:t>
      </w:r>
    </w:p>
  </w:footnote>
  <w:footnote w:id="2">
    <w:p w:rsidR="00295BBB" w:rsidRPr="00317F0F" w:rsidRDefault="00295BBB" w:rsidP="00295BBB">
      <w:pPr>
        <w:pStyle w:val="Normal1"/>
        <w:rPr>
          <w:rFonts w:ascii="Times New Roman" w:eastAsia="Arial" w:hAnsi="Times New Roman" w:cs="Times New Roman"/>
          <w:color w:val="10147E"/>
          <w:sz w:val="18"/>
          <w:szCs w:val="18"/>
          <w:u w:val="single"/>
        </w:rPr>
      </w:pPr>
      <w:r w:rsidRPr="00317F0F">
        <w:rPr>
          <w:rFonts w:ascii="Times New Roman" w:hAnsi="Times New Roman" w:cs="Times New Roman"/>
          <w:sz w:val="18"/>
          <w:szCs w:val="18"/>
          <w:vertAlign w:val="superscript"/>
        </w:rPr>
        <w:footnoteRef/>
      </w:r>
      <w:r w:rsidRPr="00317F0F">
        <w:rPr>
          <w:rFonts w:ascii="Times New Roman" w:hAnsi="Times New Roman" w:cs="Times New Roman"/>
          <w:sz w:val="18"/>
          <w:szCs w:val="18"/>
        </w:rPr>
        <w:t xml:space="preserve"> Biggs, J. (2012). What the student does: teaching for enhanced learning. </w:t>
      </w:r>
      <w:proofErr w:type="gramStart"/>
      <w:r w:rsidRPr="00317F0F">
        <w:rPr>
          <w:rFonts w:ascii="Times New Roman" w:hAnsi="Times New Roman" w:cs="Times New Roman"/>
          <w:i/>
          <w:sz w:val="18"/>
          <w:szCs w:val="18"/>
        </w:rPr>
        <w:t>Higher Education Research &amp; Development</w:t>
      </w:r>
      <w:r w:rsidRPr="00317F0F">
        <w:rPr>
          <w:rFonts w:ascii="Times New Roman" w:hAnsi="Times New Roman" w:cs="Times New Roman"/>
          <w:sz w:val="18"/>
          <w:szCs w:val="18"/>
        </w:rPr>
        <w:t>, 31(1): 39-55.</w:t>
      </w:r>
      <w:proofErr w:type="gramEnd"/>
      <w:r w:rsidRPr="00317F0F">
        <w:rPr>
          <w:rFonts w:ascii="Times New Roman" w:hAnsi="Times New Roman" w:cs="Times New Roman"/>
          <w:sz w:val="18"/>
          <w:szCs w:val="18"/>
        </w:rPr>
        <w:t xml:space="preserve"> </w:t>
      </w:r>
      <w:r w:rsidRPr="00317F0F">
        <w:rPr>
          <w:rFonts w:ascii="Times New Roman" w:hAnsi="Times New Roman" w:cs="Times New Roman"/>
          <w:sz w:val="18"/>
          <w:szCs w:val="18"/>
        </w:rPr>
        <w:fldChar w:fldCharType="begin"/>
      </w:r>
      <w:r w:rsidRPr="00317F0F">
        <w:rPr>
          <w:rFonts w:ascii="Times New Roman" w:hAnsi="Times New Roman" w:cs="Times New Roman"/>
          <w:sz w:val="18"/>
          <w:szCs w:val="18"/>
        </w:rPr>
        <w:instrText xml:space="preserve"> HYPERLINK "https://doi.org/10.1080/07294360.2012.642839" </w:instrText>
      </w:r>
      <w:r w:rsidRPr="00317F0F">
        <w:rPr>
          <w:rFonts w:ascii="Times New Roman" w:hAnsi="Times New Roman" w:cs="Times New Roman"/>
          <w:sz w:val="18"/>
          <w:szCs w:val="18"/>
        </w:rPr>
        <w:fldChar w:fldCharType="separate"/>
      </w:r>
      <w:r w:rsidRPr="00317F0F">
        <w:rPr>
          <w:rFonts w:ascii="Times New Roman" w:eastAsia="Arial" w:hAnsi="Times New Roman" w:cs="Times New Roman"/>
          <w:color w:val="10147E"/>
          <w:sz w:val="18"/>
          <w:szCs w:val="18"/>
          <w:u w:val="single"/>
        </w:rPr>
        <w:t>https://doi.org/10.1080/07294360.2012.642839</w:t>
      </w:r>
    </w:p>
    <w:p w:rsidR="00295BBB" w:rsidRPr="00317F0F" w:rsidRDefault="00295BBB" w:rsidP="00295BBB">
      <w:pPr>
        <w:pStyle w:val="Normal1"/>
        <w:rPr>
          <w:rFonts w:ascii="Times New Roman" w:hAnsi="Times New Roman" w:cs="Times New Roman"/>
          <w:sz w:val="18"/>
          <w:szCs w:val="18"/>
        </w:rPr>
      </w:pPr>
      <w:r w:rsidRPr="00317F0F">
        <w:rPr>
          <w:rFonts w:ascii="Times New Roman" w:hAnsi="Times New Roman" w:cs="Times New Roman"/>
          <w:sz w:val="18"/>
          <w:szCs w:val="18"/>
        </w:rPr>
        <w:fldChar w:fldCharType="end"/>
      </w:r>
    </w:p>
  </w:footnote>
  <w:footnote w:id="3">
    <w:p w:rsidR="00295BBB" w:rsidRDefault="00295BBB" w:rsidP="00295BBB">
      <w:pPr>
        <w:pStyle w:val="Normal1"/>
        <w:rPr>
          <w:sz w:val="20"/>
          <w:szCs w:val="20"/>
        </w:rPr>
      </w:pPr>
      <w:r w:rsidRPr="00317F0F">
        <w:rPr>
          <w:rFonts w:ascii="Times New Roman" w:hAnsi="Times New Roman" w:cs="Times New Roman"/>
          <w:sz w:val="18"/>
          <w:szCs w:val="18"/>
          <w:vertAlign w:val="superscript"/>
        </w:rPr>
        <w:footnoteRef/>
      </w:r>
      <w:r w:rsidRPr="00317F0F">
        <w:rPr>
          <w:rFonts w:ascii="Times New Roman" w:hAnsi="Times New Roman" w:cs="Times New Roman"/>
          <w:sz w:val="18"/>
          <w:szCs w:val="18"/>
        </w:rPr>
        <w:t xml:space="preserve"> The purpose of level descriptors for Levels One to Ten of the National Qualifications Framework is to ensure coherence in learning achievement in the allocation of qualifications and part qualifications to particular levels, and to facilitate the assessment of the national and international comparability of qualifications and part qualifications. Ten categories are used in the level descriptors to describe applied competencies across each of the ten levels of the National Qualifications Framework: • Scope of knowledge • Knowledge literacy • Method and procedure • Problem solving • Ethics and professional practice • Accessing, processing and managing information • Producing and communicating of information • Context and systems • Management of learning • Acc</w:t>
      </w:r>
      <w:r>
        <w:rPr>
          <w:rFonts w:ascii="Times New Roman" w:hAnsi="Times New Roman" w:cs="Times New Roman"/>
          <w:sz w:val="18"/>
          <w:szCs w:val="18"/>
        </w:rPr>
        <w:t>ountability (SAQA 2012 p 3)</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D40B9"/>
    <w:multiLevelType w:val="multilevel"/>
    <w:tmpl w:val="4F004B84"/>
    <w:lvl w:ilvl="0">
      <w:start w:val="1"/>
      <w:numFmt w:val="decimal"/>
      <w:lvlText w:val="%1."/>
      <w:lvlJc w:val="left"/>
      <w:pPr>
        <w:ind w:left="1080" w:hanging="360"/>
      </w:pPr>
    </w:lvl>
    <w:lvl w:ilvl="1">
      <w:start w:val="3"/>
      <w:numFmt w:val="decimal"/>
      <w:isLgl/>
      <w:lvlText w:val="%1.%2"/>
      <w:lvlJc w:val="left"/>
      <w:pPr>
        <w:ind w:left="1080" w:hanging="360"/>
      </w:pPr>
      <w:rPr>
        <w:rFonts w:ascii="Times New Roman" w:eastAsiaTheme="minorEastAsia" w:hAnsi="Times New Roman" w:cs="Times New Roman" w:hint="default"/>
        <w:b/>
        <w:sz w:val="24"/>
      </w:rPr>
    </w:lvl>
    <w:lvl w:ilvl="2">
      <w:start w:val="1"/>
      <w:numFmt w:val="decimal"/>
      <w:isLgl/>
      <w:lvlText w:val="%1.%2.%3"/>
      <w:lvlJc w:val="left"/>
      <w:pPr>
        <w:ind w:left="1440" w:hanging="720"/>
      </w:pPr>
      <w:rPr>
        <w:rFonts w:ascii="Times New Roman" w:eastAsiaTheme="minorEastAsia" w:hAnsi="Times New Roman" w:cs="Times New Roman" w:hint="default"/>
        <w:b/>
        <w:sz w:val="24"/>
      </w:rPr>
    </w:lvl>
    <w:lvl w:ilvl="3">
      <w:start w:val="1"/>
      <w:numFmt w:val="decimal"/>
      <w:isLgl/>
      <w:lvlText w:val="%1.%2.%3.%4"/>
      <w:lvlJc w:val="left"/>
      <w:pPr>
        <w:ind w:left="1800" w:hanging="1080"/>
      </w:pPr>
      <w:rPr>
        <w:rFonts w:ascii="Times New Roman" w:eastAsiaTheme="minorEastAsia" w:hAnsi="Times New Roman" w:cs="Times New Roman" w:hint="default"/>
        <w:b/>
        <w:sz w:val="24"/>
      </w:rPr>
    </w:lvl>
    <w:lvl w:ilvl="4">
      <w:start w:val="1"/>
      <w:numFmt w:val="decimal"/>
      <w:isLgl/>
      <w:lvlText w:val="%1.%2.%3.%4.%5"/>
      <w:lvlJc w:val="left"/>
      <w:pPr>
        <w:ind w:left="1800" w:hanging="1080"/>
      </w:pPr>
      <w:rPr>
        <w:rFonts w:ascii="Times New Roman" w:eastAsiaTheme="minorEastAsia" w:hAnsi="Times New Roman" w:cs="Times New Roman" w:hint="default"/>
        <w:b/>
        <w:sz w:val="24"/>
      </w:rPr>
    </w:lvl>
    <w:lvl w:ilvl="5">
      <w:start w:val="1"/>
      <w:numFmt w:val="decimal"/>
      <w:isLgl/>
      <w:lvlText w:val="%1.%2.%3.%4.%5.%6"/>
      <w:lvlJc w:val="left"/>
      <w:pPr>
        <w:ind w:left="2160" w:hanging="1440"/>
      </w:pPr>
      <w:rPr>
        <w:rFonts w:ascii="Times New Roman" w:eastAsiaTheme="minorEastAsia" w:hAnsi="Times New Roman" w:cs="Times New Roman" w:hint="default"/>
        <w:b/>
        <w:sz w:val="24"/>
      </w:rPr>
    </w:lvl>
    <w:lvl w:ilvl="6">
      <w:start w:val="1"/>
      <w:numFmt w:val="decimal"/>
      <w:isLgl/>
      <w:lvlText w:val="%1.%2.%3.%4.%5.%6.%7"/>
      <w:lvlJc w:val="left"/>
      <w:pPr>
        <w:ind w:left="2160" w:hanging="1440"/>
      </w:pPr>
      <w:rPr>
        <w:rFonts w:ascii="Times New Roman" w:eastAsiaTheme="minorEastAsia" w:hAnsi="Times New Roman" w:cs="Times New Roman" w:hint="default"/>
        <w:b/>
        <w:sz w:val="24"/>
      </w:rPr>
    </w:lvl>
    <w:lvl w:ilvl="7">
      <w:start w:val="1"/>
      <w:numFmt w:val="decimal"/>
      <w:isLgl/>
      <w:lvlText w:val="%1.%2.%3.%4.%5.%6.%7.%8"/>
      <w:lvlJc w:val="left"/>
      <w:pPr>
        <w:ind w:left="2520" w:hanging="1800"/>
      </w:pPr>
      <w:rPr>
        <w:rFonts w:ascii="Times New Roman" w:eastAsiaTheme="minorEastAsia" w:hAnsi="Times New Roman" w:cs="Times New Roman" w:hint="default"/>
        <w:b/>
        <w:sz w:val="24"/>
      </w:rPr>
    </w:lvl>
    <w:lvl w:ilvl="8">
      <w:start w:val="1"/>
      <w:numFmt w:val="decimal"/>
      <w:isLgl/>
      <w:lvlText w:val="%1.%2.%3.%4.%5.%6.%7.%8.%9"/>
      <w:lvlJc w:val="left"/>
      <w:pPr>
        <w:ind w:left="2880" w:hanging="2160"/>
      </w:pPr>
      <w:rPr>
        <w:rFonts w:ascii="Times New Roman" w:eastAsiaTheme="minorEastAsia" w:hAnsi="Times New Roman" w:cs="Times New Roman" w:hint="default"/>
        <w:b/>
        <w:sz w:val="24"/>
      </w:rPr>
    </w:lvl>
  </w:abstractNum>
  <w:abstractNum w:abstractNumId="1">
    <w:nsid w:val="45E23695"/>
    <w:multiLevelType w:val="hybridMultilevel"/>
    <w:tmpl w:val="641617F6"/>
    <w:lvl w:ilvl="0" w:tplc="5134996E">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E1B31D8"/>
    <w:multiLevelType w:val="multilevel"/>
    <w:tmpl w:val="DF2AF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BBB"/>
    <w:rsid w:val="0009393C"/>
    <w:rsid w:val="00295BBB"/>
    <w:rsid w:val="00317264"/>
    <w:rsid w:val="00A11B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62D057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BB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BBB"/>
    <w:pPr>
      <w:spacing w:after="160" w:line="240" w:lineRule="auto"/>
      <w:ind w:left="1008" w:hanging="288"/>
      <w:contextualSpacing/>
    </w:pPr>
    <w:rPr>
      <w:rFonts w:eastAsiaTheme="minorHAnsi"/>
      <w:sz w:val="21"/>
    </w:rPr>
  </w:style>
  <w:style w:type="paragraph" w:styleId="Footer">
    <w:name w:val="footer"/>
    <w:basedOn w:val="Normal"/>
    <w:link w:val="FooterChar"/>
    <w:uiPriority w:val="99"/>
    <w:unhideWhenUsed/>
    <w:rsid w:val="00295B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5BBB"/>
    <w:rPr>
      <w:sz w:val="22"/>
      <w:szCs w:val="22"/>
    </w:rPr>
  </w:style>
  <w:style w:type="character" w:styleId="Hyperlink">
    <w:name w:val="Hyperlink"/>
    <w:uiPriority w:val="99"/>
    <w:rsid w:val="00295BBB"/>
    <w:rPr>
      <w:color w:val="0000FF"/>
      <w:u w:val="single"/>
    </w:rPr>
  </w:style>
  <w:style w:type="paragraph" w:customStyle="1" w:styleId="Normal1">
    <w:name w:val="Normal1"/>
    <w:rsid w:val="00295BBB"/>
    <w:pPr>
      <w:pBdr>
        <w:top w:val="nil"/>
        <w:left w:val="nil"/>
        <w:bottom w:val="nil"/>
        <w:right w:val="nil"/>
        <w:between w:val="nil"/>
      </w:pBdr>
    </w:pPr>
    <w:rPr>
      <w:rFonts w:ascii="Calibri" w:eastAsia="Calibri" w:hAnsi="Calibri" w:cs="Calibri"/>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BB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BBB"/>
    <w:pPr>
      <w:spacing w:after="160" w:line="240" w:lineRule="auto"/>
      <w:ind w:left="1008" w:hanging="288"/>
      <w:contextualSpacing/>
    </w:pPr>
    <w:rPr>
      <w:rFonts w:eastAsiaTheme="minorHAnsi"/>
      <w:sz w:val="21"/>
    </w:rPr>
  </w:style>
  <w:style w:type="paragraph" w:styleId="Footer">
    <w:name w:val="footer"/>
    <w:basedOn w:val="Normal"/>
    <w:link w:val="FooterChar"/>
    <w:uiPriority w:val="99"/>
    <w:unhideWhenUsed/>
    <w:rsid w:val="00295B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5BBB"/>
    <w:rPr>
      <w:sz w:val="22"/>
      <w:szCs w:val="22"/>
    </w:rPr>
  </w:style>
  <w:style w:type="character" w:styleId="Hyperlink">
    <w:name w:val="Hyperlink"/>
    <w:uiPriority w:val="99"/>
    <w:rsid w:val="00295BBB"/>
    <w:rPr>
      <w:color w:val="0000FF"/>
      <w:u w:val="single"/>
    </w:rPr>
  </w:style>
  <w:style w:type="paragraph" w:customStyle="1" w:styleId="Normal1">
    <w:name w:val="Normal1"/>
    <w:rsid w:val="00295BBB"/>
    <w:pPr>
      <w:pBdr>
        <w:top w:val="nil"/>
        <w:left w:val="nil"/>
        <w:bottom w:val="nil"/>
        <w:right w:val="nil"/>
        <w:between w:val="nil"/>
      </w:pBdr>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aqa.org.za/docs/pol/2000/curriculum_dev.pdf" TargetMode="External"/><Relationship Id="rId12" Type="http://schemas.openxmlformats.org/officeDocument/2006/relationships/hyperlink" Target="http://www.saqa.org.za/docs/misc/2012/level_descriptors.pdf" TargetMode="External"/><Relationship Id="rId13" Type="http://schemas.openxmlformats.org/officeDocument/2006/relationships/hyperlink" Target="http://www.saqa.org.za/docs/misc/2012/level_descriptors.pdf" TargetMode="External"/><Relationship Id="rId14" Type="http://schemas.openxmlformats.org/officeDocument/2006/relationships/hyperlink" Target="http://www.ru.ac.za/media/rhodesuniversity/content/institutionalplanning/documents/Evaluation%20of%20Teaching%20and%20Courses.pdf" TargetMode="External"/><Relationship Id="rId15" Type="http://schemas.openxmlformats.org/officeDocument/2006/relationships/hyperlink" Target="http://www.ru.ac.za/teachingandlearning/aside/"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che.ac.za/media_and_publications/legislation/government-gazette-higher-education-qualifications-sub-framewor-0"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1194</Words>
  <Characters>6812</Characters>
  <Application>Microsoft Macintosh Word</Application>
  <DocSecurity>0</DocSecurity>
  <Lines>56</Lines>
  <Paragraphs>15</Paragraphs>
  <ScaleCrop>false</ScaleCrop>
  <Company/>
  <LinksUpToDate>false</LinksUpToDate>
  <CharactersWithSpaces>7991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Quinn</dc:creator>
  <cp:keywords/>
  <dc:description/>
  <cp:lastModifiedBy>Lynn Quinn</cp:lastModifiedBy>
  <cp:revision>1</cp:revision>
  <dcterms:created xsi:type="dcterms:W3CDTF">2018-01-17T07:57:00Z</dcterms:created>
  <dcterms:modified xsi:type="dcterms:W3CDTF">2018-01-17T08:01:00Z</dcterms:modified>
</cp:coreProperties>
</file>