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73933" w14:textId="77777777" w:rsidR="00D8231D" w:rsidRPr="002C1C62" w:rsidRDefault="00D8231D" w:rsidP="002B2C32">
      <w:pPr>
        <w:spacing w:before="80" w:after="80"/>
        <w:rPr>
          <w:rFonts w:asciiTheme="majorHAnsi" w:hAnsiTheme="majorHAnsi"/>
          <w:color w:val="2F2B20" w:themeColor="background1"/>
        </w:rPr>
      </w:pPr>
      <w:bookmarkStart w:id="0" w:name="_GoBack"/>
      <w:bookmarkEnd w:id="0"/>
    </w:p>
    <w:p w14:paraId="424A5190" w14:textId="77777777" w:rsidR="00D8231D" w:rsidRPr="002C1C62" w:rsidRDefault="00D8231D" w:rsidP="002B2C32">
      <w:pPr>
        <w:spacing w:before="80" w:after="80"/>
        <w:rPr>
          <w:rFonts w:asciiTheme="majorHAnsi" w:hAnsiTheme="majorHAnsi"/>
          <w:color w:val="2F2B20" w:themeColor="background1"/>
        </w:rPr>
      </w:pPr>
    </w:p>
    <w:p w14:paraId="3827DADA" w14:textId="77777777" w:rsidR="00D8231D" w:rsidRPr="002C1C62" w:rsidRDefault="00D8231D" w:rsidP="002B2C32">
      <w:pPr>
        <w:spacing w:before="80" w:after="80"/>
        <w:rPr>
          <w:rFonts w:asciiTheme="majorHAnsi" w:hAnsiTheme="majorHAnsi"/>
          <w:color w:val="2F2B20" w:themeColor="background1"/>
        </w:rPr>
      </w:pPr>
    </w:p>
    <w:p w14:paraId="6C03B95B" w14:textId="77777777" w:rsidR="00D8231D" w:rsidRPr="002C1C62" w:rsidRDefault="00D8231D" w:rsidP="002B2C32">
      <w:pPr>
        <w:spacing w:before="80" w:after="80"/>
        <w:rPr>
          <w:rFonts w:asciiTheme="majorHAnsi" w:hAnsiTheme="majorHAnsi"/>
          <w:color w:val="2F2B20" w:themeColor="background1"/>
        </w:rPr>
      </w:pPr>
    </w:p>
    <w:p w14:paraId="65EAC1EE" w14:textId="77777777" w:rsidR="00D8231D" w:rsidRPr="002C1C62" w:rsidRDefault="00D8231D" w:rsidP="002B2C32">
      <w:pPr>
        <w:spacing w:before="80" w:after="80"/>
        <w:rPr>
          <w:rFonts w:asciiTheme="majorHAnsi" w:hAnsiTheme="majorHAnsi"/>
          <w:color w:val="2F2B20" w:themeColor="background1"/>
        </w:rPr>
      </w:pPr>
    </w:p>
    <w:p w14:paraId="7A1EBA9F" w14:textId="77777777" w:rsidR="00D8231D" w:rsidRPr="002C1C62" w:rsidRDefault="00D8231D" w:rsidP="002B2C32">
      <w:pPr>
        <w:spacing w:before="80" w:after="80"/>
        <w:rPr>
          <w:rFonts w:asciiTheme="majorHAnsi" w:hAnsiTheme="majorHAnsi"/>
          <w:color w:val="2F2B20" w:themeColor="background1"/>
        </w:rPr>
      </w:pPr>
    </w:p>
    <w:p w14:paraId="18D30E7F" w14:textId="77777777" w:rsidR="00D8231D" w:rsidRPr="002C1C62" w:rsidRDefault="00D8231D" w:rsidP="002B2C32">
      <w:pPr>
        <w:spacing w:before="80" w:after="80"/>
        <w:rPr>
          <w:rFonts w:asciiTheme="majorHAnsi" w:hAnsiTheme="majorHAnsi"/>
          <w:color w:val="2F2B20" w:themeColor="background1"/>
        </w:rPr>
      </w:pPr>
    </w:p>
    <w:p w14:paraId="62A9476D" w14:textId="77777777" w:rsidR="00000D65" w:rsidRPr="002C1C62" w:rsidRDefault="00000D65" w:rsidP="002B2C32">
      <w:pPr>
        <w:spacing w:before="80" w:after="80"/>
        <w:rPr>
          <w:rFonts w:asciiTheme="majorHAnsi" w:hAnsiTheme="majorHAnsi"/>
          <w:color w:val="2F2B20" w:themeColor="background1"/>
        </w:rPr>
      </w:pPr>
    </w:p>
    <w:p w14:paraId="1326127E" w14:textId="6BE2D255" w:rsidR="00000D65" w:rsidRPr="002C1C62" w:rsidRDefault="00EA08DD" w:rsidP="00EA08DD">
      <w:pPr>
        <w:spacing w:before="80" w:after="80"/>
        <w:jc w:val="center"/>
        <w:rPr>
          <w:rFonts w:asciiTheme="majorHAnsi" w:hAnsiTheme="majorHAnsi"/>
          <w:color w:val="2F2B20" w:themeColor="background1"/>
          <w:sz w:val="40"/>
          <w:szCs w:val="40"/>
        </w:rPr>
      </w:pPr>
      <w:r w:rsidRPr="002C1C62">
        <w:rPr>
          <w:rFonts w:asciiTheme="majorHAnsi" w:hAnsiTheme="majorHAnsi"/>
          <w:color w:val="2F2B20" w:themeColor="background1"/>
          <w:sz w:val="40"/>
          <w:szCs w:val="40"/>
        </w:rPr>
        <w:t>Rhodes University Policy on</w:t>
      </w:r>
      <w:r w:rsidR="009A2D94">
        <w:rPr>
          <w:rFonts w:asciiTheme="majorHAnsi" w:hAnsiTheme="majorHAnsi"/>
          <w:color w:val="2F2B20" w:themeColor="background1"/>
          <w:sz w:val="40"/>
          <w:szCs w:val="40"/>
        </w:rPr>
        <w:t xml:space="preserve"> Supervision in</w:t>
      </w:r>
    </w:p>
    <w:p w14:paraId="7CA35F9E" w14:textId="1A31A091" w:rsidR="00EA08DD" w:rsidRPr="002C1C62" w:rsidRDefault="00EA08DD" w:rsidP="00EA08DD">
      <w:pPr>
        <w:spacing w:before="80" w:after="80"/>
        <w:jc w:val="center"/>
        <w:rPr>
          <w:rFonts w:asciiTheme="majorHAnsi" w:hAnsiTheme="majorHAnsi"/>
          <w:color w:val="2F2B20" w:themeColor="background1"/>
          <w:sz w:val="40"/>
          <w:szCs w:val="40"/>
        </w:rPr>
      </w:pPr>
      <w:r w:rsidRPr="002C1C62">
        <w:rPr>
          <w:rFonts w:asciiTheme="majorHAnsi" w:hAnsiTheme="majorHAnsi"/>
          <w:color w:val="2F2B20" w:themeColor="background1"/>
          <w:sz w:val="40"/>
          <w:szCs w:val="40"/>
        </w:rPr>
        <w:t>Highe</w:t>
      </w:r>
      <w:r w:rsidR="009A2D94">
        <w:rPr>
          <w:rFonts w:asciiTheme="majorHAnsi" w:hAnsiTheme="majorHAnsi"/>
          <w:color w:val="2F2B20" w:themeColor="background1"/>
          <w:sz w:val="40"/>
          <w:szCs w:val="40"/>
        </w:rPr>
        <w:t>r Degree by Research</w:t>
      </w:r>
    </w:p>
    <w:p w14:paraId="36A022D9" w14:textId="77777777" w:rsidR="00D8231D" w:rsidRPr="002C1C62" w:rsidRDefault="00D8231D" w:rsidP="002B2C32">
      <w:pPr>
        <w:spacing w:before="80" w:after="80"/>
        <w:rPr>
          <w:rFonts w:asciiTheme="majorHAnsi" w:hAnsiTheme="majorHAnsi"/>
          <w:color w:val="2F2B20" w:themeColor="background1"/>
        </w:rPr>
      </w:pPr>
    </w:p>
    <w:tbl>
      <w:tblPr>
        <w:tblStyle w:val="TableGrid"/>
        <w:tblpPr w:leftFromText="180" w:rightFromText="180" w:vertAnchor="text" w:horzAnchor="margin" w:tblpY="172"/>
        <w:tblW w:w="9322" w:type="dxa"/>
        <w:tblLook w:val="04A0" w:firstRow="1" w:lastRow="0" w:firstColumn="1" w:lastColumn="0" w:noHBand="0" w:noVBand="1"/>
      </w:tblPr>
      <w:tblGrid>
        <w:gridCol w:w="4508"/>
        <w:gridCol w:w="4814"/>
      </w:tblGrid>
      <w:tr w:rsidR="002C1C62" w:rsidRPr="002C1C62" w14:paraId="5FC6E195" w14:textId="77777777" w:rsidTr="00000D65">
        <w:tc>
          <w:tcPr>
            <w:tcW w:w="4508" w:type="dxa"/>
          </w:tcPr>
          <w:p w14:paraId="3865A5B7" w14:textId="77777777" w:rsidR="00000D65" w:rsidRPr="002C1C62" w:rsidRDefault="00EE4668" w:rsidP="002B2C32">
            <w:pPr>
              <w:spacing w:before="80" w:after="80"/>
              <w:rPr>
                <w:rFonts w:asciiTheme="majorHAnsi" w:hAnsiTheme="majorHAnsi"/>
                <w:color w:val="2F2B20" w:themeColor="background1"/>
              </w:rPr>
            </w:pPr>
            <w:r w:rsidRPr="002C1C62">
              <w:rPr>
                <w:rFonts w:asciiTheme="majorHAnsi" w:hAnsiTheme="majorHAnsi"/>
                <w:color w:val="2F2B20" w:themeColor="background1"/>
              </w:rPr>
              <w:t>Policy</w:t>
            </w:r>
            <w:r w:rsidR="00000D65" w:rsidRPr="002C1C62">
              <w:rPr>
                <w:rFonts w:asciiTheme="majorHAnsi" w:hAnsiTheme="majorHAnsi"/>
                <w:color w:val="2F2B20" w:themeColor="background1"/>
              </w:rPr>
              <w:t xml:space="preserve"> Volume</w:t>
            </w:r>
          </w:p>
        </w:tc>
        <w:tc>
          <w:tcPr>
            <w:tcW w:w="4814" w:type="dxa"/>
          </w:tcPr>
          <w:p w14:paraId="2E9330E1" w14:textId="328A97FF" w:rsidR="00785267" w:rsidRPr="002C1C62" w:rsidRDefault="00785267" w:rsidP="002B2C32">
            <w:pPr>
              <w:spacing w:before="80" w:after="80"/>
              <w:rPr>
                <w:rFonts w:asciiTheme="majorHAnsi" w:hAnsiTheme="majorHAnsi"/>
                <w:color w:val="2F2B20" w:themeColor="background1"/>
              </w:rPr>
            </w:pPr>
          </w:p>
        </w:tc>
      </w:tr>
      <w:tr w:rsidR="002C1C62" w:rsidRPr="002C1C62" w14:paraId="6AFE1D0F" w14:textId="77777777" w:rsidTr="00000D65">
        <w:tc>
          <w:tcPr>
            <w:tcW w:w="4508" w:type="dxa"/>
          </w:tcPr>
          <w:p w14:paraId="6BC8F3A8" w14:textId="77777777" w:rsidR="00000D65" w:rsidRPr="002C1C62" w:rsidRDefault="00EE4668" w:rsidP="002B2C32">
            <w:pPr>
              <w:spacing w:before="80" w:after="80"/>
              <w:rPr>
                <w:rFonts w:asciiTheme="majorHAnsi" w:hAnsiTheme="majorHAnsi"/>
                <w:color w:val="2F2B20" w:themeColor="background1"/>
              </w:rPr>
            </w:pPr>
            <w:r w:rsidRPr="002C1C62">
              <w:rPr>
                <w:rFonts w:asciiTheme="majorHAnsi" w:hAnsiTheme="majorHAnsi"/>
                <w:color w:val="2F2B20" w:themeColor="background1"/>
              </w:rPr>
              <w:t xml:space="preserve">Policy </w:t>
            </w:r>
            <w:r w:rsidR="00000D65" w:rsidRPr="002C1C62">
              <w:rPr>
                <w:rFonts w:asciiTheme="majorHAnsi" w:hAnsiTheme="majorHAnsi"/>
                <w:color w:val="2F2B20" w:themeColor="background1"/>
              </w:rPr>
              <w:t>Chapter</w:t>
            </w:r>
          </w:p>
        </w:tc>
        <w:tc>
          <w:tcPr>
            <w:tcW w:w="4814" w:type="dxa"/>
          </w:tcPr>
          <w:p w14:paraId="17386EC4" w14:textId="09F5E184" w:rsidR="00000D65" w:rsidRPr="002C1C62" w:rsidRDefault="00000D65" w:rsidP="002B2C32">
            <w:pPr>
              <w:spacing w:before="80" w:after="80"/>
              <w:rPr>
                <w:rFonts w:asciiTheme="majorHAnsi" w:hAnsiTheme="majorHAnsi"/>
                <w:color w:val="2F2B20" w:themeColor="background1"/>
              </w:rPr>
            </w:pPr>
          </w:p>
        </w:tc>
      </w:tr>
      <w:tr w:rsidR="002C1C62" w:rsidRPr="002C1C62" w14:paraId="34704DE5" w14:textId="77777777" w:rsidTr="00000D65">
        <w:tc>
          <w:tcPr>
            <w:tcW w:w="4508" w:type="dxa"/>
          </w:tcPr>
          <w:p w14:paraId="31ADA9B5" w14:textId="77777777" w:rsidR="00000D65" w:rsidRPr="002C1C62" w:rsidRDefault="00000D65" w:rsidP="002B2C32">
            <w:pPr>
              <w:spacing w:before="80" w:after="80"/>
              <w:rPr>
                <w:rFonts w:asciiTheme="majorHAnsi" w:hAnsiTheme="majorHAnsi"/>
                <w:color w:val="2F2B20" w:themeColor="background1"/>
              </w:rPr>
            </w:pPr>
            <w:r w:rsidRPr="002C1C62">
              <w:rPr>
                <w:rFonts w:asciiTheme="majorHAnsi" w:hAnsiTheme="majorHAnsi"/>
                <w:color w:val="2F2B20" w:themeColor="background1"/>
              </w:rPr>
              <w:t>Responsible Committee/Unit/Division/Faculty</w:t>
            </w:r>
          </w:p>
        </w:tc>
        <w:tc>
          <w:tcPr>
            <w:tcW w:w="4814" w:type="dxa"/>
          </w:tcPr>
          <w:p w14:paraId="6E5455E6" w14:textId="029164CD" w:rsidR="00000D65" w:rsidRPr="002C1C62" w:rsidRDefault="002B2C32" w:rsidP="002B2C32">
            <w:pPr>
              <w:spacing w:before="80" w:after="80"/>
              <w:rPr>
                <w:rFonts w:asciiTheme="majorHAnsi" w:hAnsiTheme="majorHAnsi"/>
                <w:color w:val="2F2B20" w:themeColor="background1"/>
              </w:rPr>
            </w:pPr>
            <w:r w:rsidRPr="002C1C62">
              <w:rPr>
                <w:rFonts w:asciiTheme="majorHAnsi" w:hAnsiTheme="majorHAnsi"/>
                <w:color w:val="2F2B20" w:themeColor="background1"/>
              </w:rPr>
              <w:t>Research Office and Centre for Postgraduate Studies</w:t>
            </w:r>
          </w:p>
        </w:tc>
      </w:tr>
      <w:tr w:rsidR="002C1C62" w:rsidRPr="002C1C62" w14:paraId="5FEFEDC5" w14:textId="77777777" w:rsidTr="00000D65">
        <w:tc>
          <w:tcPr>
            <w:tcW w:w="4508" w:type="dxa"/>
          </w:tcPr>
          <w:p w14:paraId="53690F0D" w14:textId="77777777" w:rsidR="00000D65" w:rsidRPr="002C1C62" w:rsidRDefault="00000D65" w:rsidP="002B2C32">
            <w:pPr>
              <w:spacing w:before="80" w:after="80"/>
              <w:rPr>
                <w:rFonts w:asciiTheme="majorHAnsi" w:hAnsiTheme="majorHAnsi"/>
                <w:color w:val="2F2B20" w:themeColor="background1"/>
              </w:rPr>
            </w:pPr>
            <w:r w:rsidRPr="002C1C62">
              <w:rPr>
                <w:rFonts w:asciiTheme="majorHAnsi" w:hAnsiTheme="majorHAnsi"/>
                <w:color w:val="2F2B20" w:themeColor="background1"/>
              </w:rPr>
              <w:t>Responsible Chairperson/Director/Manager</w:t>
            </w:r>
          </w:p>
        </w:tc>
        <w:tc>
          <w:tcPr>
            <w:tcW w:w="4814" w:type="dxa"/>
          </w:tcPr>
          <w:p w14:paraId="00733CCB" w14:textId="0431E80D" w:rsidR="00000D65" w:rsidRPr="002C1C62" w:rsidRDefault="00553A65" w:rsidP="002B2C32">
            <w:pPr>
              <w:spacing w:before="80" w:after="80"/>
              <w:rPr>
                <w:rFonts w:asciiTheme="majorHAnsi" w:hAnsiTheme="majorHAnsi"/>
                <w:color w:val="2F2B20" w:themeColor="background1"/>
              </w:rPr>
            </w:pPr>
            <w:r w:rsidRPr="002C1C62">
              <w:rPr>
                <w:rFonts w:asciiTheme="majorHAnsi" w:hAnsiTheme="majorHAnsi"/>
                <w:color w:val="2F2B20" w:themeColor="background1"/>
              </w:rPr>
              <w:t>DVC: Research</w:t>
            </w:r>
          </w:p>
        </w:tc>
      </w:tr>
      <w:tr w:rsidR="002C1C62" w:rsidRPr="002C1C62" w14:paraId="2376CED3" w14:textId="77777777" w:rsidTr="00000D65">
        <w:tc>
          <w:tcPr>
            <w:tcW w:w="4508" w:type="dxa"/>
          </w:tcPr>
          <w:p w14:paraId="128176FC" w14:textId="77777777" w:rsidR="00000D65" w:rsidRPr="002C1C62" w:rsidRDefault="00785267" w:rsidP="002B2C32">
            <w:pPr>
              <w:spacing w:before="80" w:after="80"/>
              <w:rPr>
                <w:rFonts w:asciiTheme="majorHAnsi" w:hAnsiTheme="majorHAnsi"/>
                <w:color w:val="2F2B20" w:themeColor="background1"/>
              </w:rPr>
            </w:pPr>
            <w:r w:rsidRPr="002C1C62">
              <w:rPr>
                <w:rFonts w:asciiTheme="majorHAnsi" w:hAnsiTheme="majorHAnsi"/>
                <w:color w:val="2F2B20" w:themeColor="background1"/>
              </w:rPr>
              <w:t>Dates of First and Subsequent Council Approvals</w:t>
            </w:r>
          </w:p>
        </w:tc>
        <w:tc>
          <w:tcPr>
            <w:tcW w:w="4814" w:type="dxa"/>
          </w:tcPr>
          <w:p w14:paraId="0BBE6D61" w14:textId="5B220AC4" w:rsidR="00000D65" w:rsidRPr="002C1C62" w:rsidRDefault="00000D65" w:rsidP="002B2C32">
            <w:pPr>
              <w:spacing w:before="80" w:after="80"/>
              <w:rPr>
                <w:rFonts w:asciiTheme="majorHAnsi" w:hAnsiTheme="majorHAnsi"/>
                <w:color w:val="2F2B20" w:themeColor="background1"/>
              </w:rPr>
            </w:pPr>
            <w:r w:rsidRPr="002C1C62">
              <w:rPr>
                <w:rFonts w:asciiTheme="majorHAnsi" w:hAnsiTheme="majorHAnsi"/>
                <w:color w:val="2F2B20" w:themeColor="background1"/>
              </w:rPr>
              <w:t xml:space="preserve"> </w:t>
            </w:r>
            <w:r w:rsidR="00C66448">
              <w:rPr>
                <w:rFonts w:asciiTheme="majorHAnsi" w:hAnsiTheme="majorHAnsi"/>
                <w:color w:val="2F2B20" w:themeColor="background1"/>
              </w:rPr>
              <w:t>Senate Approval 17 November 2017</w:t>
            </w:r>
          </w:p>
        </w:tc>
      </w:tr>
      <w:tr w:rsidR="002C1C62" w:rsidRPr="002C1C62" w14:paraId="68DE8D85" w14:textId="77777777" w:rsidTr="00000D65">
        <w:tc>
          <w:tcPr>
            <w:tcW w:w="4508" w:type="dxa"/>
          </w:tcPr>
          <w:p w14:paraId="1FE92B0D" w14:textId="77777777" w:rsidR="00000D65" w:rsidRPr="002C1C62" w:rsidRDefault="00000D65" w:rsidP="002B2C32">
            <w:pPr>
              <w:spacing w:before="80" w:after="80"/>
              <w:rPr>
                <w:rFonts w:asciiTheme="majorHAnsi" w:hAnsiTheme="majorHAnsi"/>
                <w:color w:val="2F2B20" w:themeColor="background1"/>
              </w:rPr>
            </w:pPr>
            <w:r w:rsidRPr="002C1C62">
              <w:rPr>
                <w:rFonts w:asciiTheme="majorHAnsi" w:hAnsiTheme="majorHAnsi"/>
                <w:color w:val="2F2B20" w:themeColor="background1"/>
              </w:rPr>
              <w:t>Revision History: Approved Reviews</w:t>
            </w:r>
          </w:p>
        </w:tc>
        <w:tc>
          <w:tcPr>
            <w:tcW w:w="4814" w:type="dxa"/>
          </w:tcPr>
          <w:p w14:paraId="4F25669E" w14:textId="77777777" w:rsidR="00000D65" w:rsidRPr="002C1C62" w:rsidRDefault="00000D65" w:rsidP="002B2C32">
            <w:pPr>
              <w:spacing w:before="80" w:after="80"/>
              <w:rPr>
                <w:rFonts w:asciiTheme="majorHAnsi" w:hAnsiTheme="majorHAnsi"/>
                <w:color w:val="2F2B20" w:themeColor="background1"/>
              </w:rPr>
            </w:pPr>
          </w:p>
        </w:tc>
      </w:tr>
      <w:tr w:rsidR="002C1C62" w:rsidRPr="002C1C62" w14:paraId="50B088E8" w14:textId="77777777" w:rsidTr="00000D65">
        <w:tc>
          <w:tcPr>
            <w:tcW w:w="4508" w:type="dxa"/>
          </w:tcPr>
          <w:p w14:paraId="3CE80427" w14:textId="30F17CD4" w:rsidR="00000D65" w:rsidRPr="002C1C62" w:rsidRDefault="00000D65" w:rsidP="002B2C32">
            <w:pPr>
              <w:spacing w:before="80" w:after="80"/>
              <w:rPr>
                <w:rFonts w:asciiTheme="majorHAnsi" w:hAnsiTheme="majorHAnsi"/>
                <w:color w:val="2F2B20" w:themeColor="background1"/>
              </w:rPr>
            </w:pPr>
            <w:r w:rsidRPr="002C1C62">
              <w:rPr>
                <w:rFonts w:asciiTheme="majorHAnsi" w:hAnsiTheme="majorHAnsi"/>
                <w:color w:val="2F2B20" w:themeColor="background1"/>
              </w:rPr>
              <w:t>Review Cycle (e.g. every 2/5/7 years etc</w:t>
            </w:r>
            <w:r w:rsidR="004049D4">
              <w:rPr>
                <w:rFonts w:asciiTheme="majorHAnsi" w:hAnsiTheme="majorHAnsi"/>
                <w:color w:val="2F2B20" w:themeColor="background1"/>
              </w:rPr>
              <w:t>.</w:t>
            </w:r>
            <w:r w:rsidRPr="002C1C62">
              <w:rPr>
                <w:rFonts w:asciiTheme="majorHAnsi" w:hAnsiTheme="majorHAnsi"/>
                <w:color w:val="2F2B20" w:themeColor="background1"/>
              </w:rPr>
              <w:t>)</w:t>
            </w:r>
          </w:p>
        </w:tc>
        <w:tc>
          <w:tcPr>
            <w:tcW w:w="4814" w:type="dxa"/>
          </w:tcPr>
          <w:p w14:paraId="2BF42808" w14:textId="5FEF0051" w:rsidR="00000D65" w:rsidRPr="002C1C62" w:rsidRDefault="002B2C32" w:rsidP="002B2C32">
            <w:pPr>
              <w:spacing w:before="80" w:after="80"/>
              <w:rPr>
                <w:rFonts w:asciiTheme="majorHAnsi" w:hAnsiTheme="majorHAnsi"/>
                <w:color w:val="2F2B20" w:themeColor="background1"/>
              </w:rPr>
            </w:pPr>
            <w:r w:rsidRPr="002C1C62">
              <w:rPr>
                <w:rFonts w:asciiTheme="majorHAnsi" w:hAnsiTheme="majorHAnsi"/>
                <w:color w:val="2F2B20" w:themeColor="background1"/>
              </w:rPr>
              <w:t>Every 5 years</w:t>
            </w:r>
          </w:p>
        </w:tc>
      </w:tr>
      <w:tr w:rsidR="002C1C62" w:rsidRPr="002C1C62" w14:paraId="6228DB4B" w14:textId="77777777" w:rsidTr="00000D65">
        <w:tc>
          <w:tcPr>
            <w:tcW w:w="4508" w:type="dxa"/>
          </w:tcPr>
          <w:p w14:paraId="1F81097F" w14:textId="77777777" w:rsidR="00000D65" w:rsidRPr="002C1C62" w:rsidRDefault="00000D65" w:rsidP="002B2C32">
            <w:pPr>
              <w:spacing w:before="80" w:after="80"/>
              <w:rPr>
                <w:rFonts w:asciiTheme="majorHAnsi" w:hAnsiTheme="majorHAnsi"/>
                <w:color w:val="2F2B20" w:themeColor="background1"/>
              </w:rPr>
            </w:pPr>
            <w:r w:rsidRPr="002C1C62">
              <w:rPr>
                <w:rFonts w:asciiTheme="majorHAnsi" w:hAnsiTheme="majorHAnsi"/>
                <w:color w:val="2F2B20" w:themeColor="background1"/>
              </w:rPr>
              <w:t>Next Review Date</w:t>
            </w:r>
          </w:p>
        </w:tc>
        <w:tc>
          <w:tcPr>
            <w:tcW w:w="4814" w:type="dxa"/>
          </w:tcPr>
          <w:p w14:paraId="3455FF1D" w14:textId="6EEC08E0" w:rsidR="00000D65" w:rsidRPr="002C1C62" w:rsidRDefault="002B2C32" w:rsidP="002B2C32">
            <w:pPr>
              <w:spacing w:before="80" w:after="80"/>
              <w:rPr>
                <w:rFonts w:asciiTheme="majorHAnsi" w:hAnsiTheme="majorHAnsi"/>
                <w:color w:val="2F2B20" w:themeColor="background1"/>
              </w:rPr>
            </w:pPr>
            <w:r w:rsidRPr="002C1C62">
              <w:rPr>
                <w:rFonts w:asciiTheme="majorHAnsi" w:hAnsiTheme="majorHAnsi"/>
                <w:color w:val="2F2B20" w:themeColor="background1"/>
              </w:rPr>
              <w:t>2022</w:t>
            </w:r>
          </w:p>
        </w:tc>
      </w:tr>
    </w:tbl>
    <w:p w14:paraId="5471AB54" w14:textId="77777777" w:rsidR="00D8231D" w:rsidRPr="002C1C62" w:rsidRDefault="00D8231D" w:rsidP="002B2C32">
      <w:pPr>
        <w:spacing w:before="80" w:after="80"/>
        <w:rPr>
          <w:rFonts w:asciiTheme="majorHAnsi" w:hAnsiTheme="majorHAnsi"/>
          <w:color w:val="2F2B20" w:themeColor="background1"/>
        </w:rPr>
      </w:pPr>
    </w:p>
    <w:p w14:paraId="27C6A29D" w14:textId="77777777" w:rsidR="00D8231D" w:rsidRPr="002C1C62" w:rsidRDefault="00D8231D" w:rsidP="002B2C32">
      <w:pPr>
        <w:spacing w:before="80" w:after="80"/>
        <w:rPr>
          <w:rFonts w:asciiTheme="majorHAnsi" w:hAnsiTheme="majorHAnsi"/>
          <w:color w:val="2F2B20" w:themeColor="background1"/>
        </w:rPr>
      </w:pPr>
    </w:p>
    <w:p w14:paraId="09BD758D" w14:textId="77777777" w:rsidR="00553A65" w:rsidRPr="002C1C62" w:rsidRDefault="00553A65">
      <w:pPr>
        <w:rPr>
          <w:rFonts w:asciiTheme="majorHAnsi" w:hAnsiTheme="majorHAnsi"/>
          <w:color w:val="2F2B20" w:themeColor="background1"/>
          <w:lang w:val="en-GB"/>
        </w:rPr>
      </w:pPr>
      <w:r w:rsidRPr="002C1C62">
        <w:rPr>
          <w:rFonts w:asciiTheme="majorHAnsi" w:hAnsiTheme="majorHAnsi"/>
          <w:color w:val="2F2B20" w:themeColor="background1"/>
          <w:lang w:val="en-GB"/>
        </w:rPr>
        <w:br w:type="page"/>
      </w:r>
    </w:p>
    <w:p w14:paraId="45752AD3" w14:textId="2802AD42" w:rsidR="00D8231D" w:rsidRPr="002C1C62" w:rsidRDefault="00785267" w:rsidP="002B2C32">
      <w:pPr>
        <w:spacing w:before="80" w:after="80"/>
        <w:rPr>
          <w:rFonts w:asciiTheme="majorHAnsi" w:hAnsiTheme="majorHAnsi"/>
          <w:color w:val="2F2B20" w:themeColor="background1"/>
          <w:lang w:val="en-GB"/>
        </w:rPr>
      </w:pPr>
      <w:r w:rsidRPr="002C1C62">
        <w:rPr>
          <w:rFonts w:asciiTheme="majorHAnsi" w:hAnsiTheme="majorHAnsi"/>
          <w:color w:val="2F2B20" w:themeColor="background1"/>
          <w:lang w:val="en-GB"/>
        </w:rPr>
        <w:lastRenderedPageBreak/>
        <w:t>POLICY</w:t>
      </w:r>
      <w:r w:rsidR="00D8231D" w:rsidRPr="002C1C62">
        <w:rPr>
          <w:rFonts w:asciiTheme="majorHAnsi" w:hAnsiTheme="majorHAnsi"/>
          <w:color w:val="2F2B20" w:themeColor="background1"/>
          <w:lang w:val="en-GB"/>
        </w:rPr>
        <w:t xml:space="preserve"> PARTICULARS</w:t>
      </w:r>
    </w:p>
    <w:tbl>
      <w:tblPr>
        <w:tblStyle w:val="TableGrid"/>
        <w:tblW w:w="9924" w:type="dxa"/>
        <w:tblInd w:w="-318" w:type="dxa"/>
        <w:tblLayout w:type="fixed"/>
        <w:tblLook w:val="04A0" w:firstRow="1" w:lastRow="0" w:firstColumn="1" w:lastColumn="0" w:noHBand="0" w:noVBand="1"/>
      </w:tblPr>
      <w:tblGrid>
        <w:gridCol w:w="3007"/>
        <w:gridCol w:w="6917"/>
      </w:tblGrid>
      <w:tr w:rsidR="002C1C62" w:rsidRPr="002C1C62" w14:paraId="7EB39E1B" w14:textId="77777777" w:rsidTr="001D5D81">
        <w:tc>
          <w:tcPr>
            <w:tcW w:w="3007" w:type="dxa"/>
          </w:tcPr>
          <w:p w14:paraId="3AF8AB35" w14:textId="77777777" w:rsidR="00D8231D" w:rsidRPr="002C1C62" w:rsidRDefault="00785267" w:rsidP="002B2C32">
            <w:pPr>
              <w:spacing w:before="80" w:after="80"/>
              <w:rPr>
                <w:rFonts w:asciiTheme="majorHAnsi" w:hAnsiTheme="majorHAnsi"/>
                <w:color w:val="2F2B20" w:themeColor="background1"/>
              </w:rPr>
            </w:pPr>
            <w:r w:rsidRPr="002C1C62">
              <w:rPr>
                <w:rFonts w:asciiTheme="majorHAnsi" w:hAnsiTheme="majorHAnsi"/>
                <w:color w:val="2F2B20" w:themeColor="background1"/>
              </w:rPr>
              <w:t>Policy</w:t>
            </w:r>
            <w:r w:rsidR="00D8231D" w:rsidRPr="002C1C62">
              <w:rPr>
                <w:rFonts w:asciiTheme="majorHAnsi" w:hAnsiTheme="majorHAnsi"/>
                <w:color w:val="2F2B20" w:themeColor="background1"/>
              </w:rPr>
              <w:t xml:space="preserve"> Title</w:t>
            </w:r>
          </w:p>
        </w:tc>
        <w:tc>
          <w:tcPr>
            <w:tcW w:w="6917" w:type="dxa"/>
            <w:vAlign w:val="center"/>
          </w:tcPr>
          <w:p w14:paraId="70CCDFD3" w14:textId="4CCFAA0C" w:rsidR="00D8231D" w:rsidRPr="002C1C62" w:rsidRDefault="00674F79" w:rsidP="002B2C32">
            <w:pPr>
              <w:pStyle w:val="Default"/>
              <w:spacing w:before="80" w:after="80"/>
              <w:rPr>
                <w:rFonts w:asciiTheme="majorHAnsi" w:hAnsiTheme="majorHAnsi"/>
                <w:color w:val="2F2B20" w:themeColor="background1"/>
                <w:sz w:val="22"/>
                <w:szCs w:val="22"/>
                <w:lang w:val="en-GB"/>
              </w:rPr>
            </w:pPr>
            <w:r w:rsidRPr="002C1C62">
              <w:rPr>
                <w:rFonts w:asciiTheme="majorHAnsi" w:hAnsiTheme="majorHAnsi"/>
                <w:color w:val="2F2B20" w:themeColor="background1"/>
                <w:sz w:val="22"/>
                <w:szCs w:val="22"/>
                <w:lang w:val="en-GB"/>
              </w:rPr>
              <w:t xml:space="preserve">Rhodes University Policy on </w:t>
            </w:r>
            <w:r w:rsidR="009A2D94">
              <w:rPr>
                <w:rFonts w:asciiTheme="majorHAnsi" w:hAnsiTheme="majorHAnsi"/>
                <w:color w:val="2F2B20" w:themeColor="background1"/>
                <w:sz w:val="22"/>
                <w:szCs w:val="22"/>
                <w:lang w:val="en-GB"/>
              </w:rPr>
              <w:t xml:space="preserve">Supervision in Higher Degree by Research </w:t>
            </w:r>
          </w:p>
        </w:tc>
      </w:tr>
      <w:tr w:rsidR="002C1C62" w:rsidRPr="002C1C62" w14:paraId="488A4647" w14:textId="77777777" w:rsidTr="001D5D81">
        <w:tc>
          <w:tcPr>
            <w:tcW w:w="3007" w:type="dxa"/>
          </w:tcPr>
          <w:p w14:paraId="4BC566C5" w14:textId="77777777" w:rsidR="00D8231D" w:rsidRPr="002C1C62" w:rsidRDefault="00785267" w:rsidP="002B2C32">
            <w:pPr>
              <w:spacing w:before="80" w:after="80"/>
              <w:rPr>
                <w:rFonts w:asciiTheme="majorHAnsi" w:hAnsiTheme="majorHAnsi"/>
                <w:color w:val="2F2B20" w:themeColor="background1"/>
              </w:rPr>
            </w:pPr>
            <w:r w:rsidRPr="002C1C62">
              <w:rPr>
                <w:rFonts w:asciiTheme="majorHAnsi" w:hAnsiTheme="majorHAnsi"/>
                <w:color w:val="2F2B20" w:themeColor="background1"/>
              </w:rPr>
              <w:t>Policy</w:t>
            </w:r>
            <w:r w:rsidR="00D8231D" w:rsidRPr="002C1C62">
              <w:rPr>
                <w:rFonts w:asciiTheme="majorHAnsi" w:hAnsiTheme="majorHAnsi"/>
                <w:color w:val="2F2B20" w:themeColor="background1"/>
              </w:rPr>
              <w:t xml:space="preserve"> Statement</w:t>
            </w:r>
          </w:p>
          <w:p w14:paraId="6F04823C" w14:textId="77777777" w:rsidR="00D8231D" w:rsidRPr="002C1C62" w:rsidRDefault="00785267" w:rsidP="002B2C32">
            <w:pPr>
              <w:spacing w:before="80" w:after="80"/>
              <w:rPr>
                <w:rFonts w:asciiTheme="majorHAnsi" w:hAnsiTheme="majorHAnsi"/>
                <w:color w:val="2F2B20" w:themeColor="background1"/>
              </w:rPr>
            </w:pPr>
            <w:r w:rsidRPr="002C1C62">
              <w:rPr>
                <w:rFonts w:asciiTheme="majorHAnsi" w:hAnsiTheme="majorHAnsi"/>
                <w:color w:val="2F2B20" w:themeColor="background1"/>
              </w:rPr>
              <w:t>(State in a single paragraph the policy mandate and how this relates to the University Mission and Vision)</w:t>
            </w:r>
          </w:p>
        </w:tc>
        <w:tc>
          <w:tcPr>
            <w:tcW w:w="6917" w:type="dxa"/>
            <w:vAlign w:val="center"/>
          </w:tcPr>
          <w:p w14:paraId="5EA0592F" w14:textId="155311FA" w:rsidR="00D8231D" w:rsidRPr="002C1C62" w:rsidRDefault="00984ADA" w:rsidP="00072C5E">
            <w:pPr>
              <w:spacing w:before="80" w:after="80"/>
              <w:rPr>
                <w:rFonts w:asciiTheme="majorHAnsi" w:hAnsiTheme="majorHAnsi"/>
                <w:color w:val="2F2B20" w:themeColor="background1"/>
              </w:rPr>
            </w:pPr>
            <w:r w:rsidRPr="002C1C62">
              <w:rPr>
                <w:rFonts w:asciiTheme="majorHAnsi" w:hAnsiTheme="majorHAnsi"/>
                <w:color w:val="2F2B20" w:themeColor="background1"/>
              </w:rPr>
              <w:t xml:space="preserve">As a research intensive university, with a significant proportion of postgraduate students, Rhodes University recognises the importance of </w:t>
            </w:r>
            <w:r w:rsidR="00F752E1" w:rsidRPr="002C1C62">
              <w:rPr>
                <w:rFonts w:asciiTheme="majorHAnsi" w:hAnsiTheme="majorHAnsi"/>
                <w:color w:val="2F2B20" w:themeColor="background1"/>
              </w:rPr>
              <w:t xml:space="preserve">providing </w:t>
            </w:r>
            <w:r w:rsidR="004621E2" w:rsidRPr="002C1C62">
              <w:rPr>
                <w:rFonts w:asciiTheme="majorHAnsi" w:hAnsiTheme="majorHAnsi"/>
                <w:color w:val="2F2B20" w:themeColor="background1"/>
              </w:rPr>
              <w:t xml:space="preserve">high quality </w:t>
            </w:r>
            <w:r w:rsidR="002B2C32" w:rsidRPr="002C1C62">
              <w:rPr>
                <w:rFonts w:asciiTheme="majorHAnsi" w:hAnsiTheme="majorHAnsi"/>
                <w:color w:val="2F2B20" w:themeColor="background1"/>
              </w:rPr>
              <w:t>Higher Degree by Research (HDR)</w:t>
            </w:r>
            <w:r w:rsidRPr="002C1C62">
              <w:rPr>
                <w:rFonts w:asciiTheme="majorHAnsi" w:hAnsiTheme="majorHAnsi"/>
                <w:color w:val="2F2B20" w:themeColor="background1"/>
              </w:rPr>
              <w:t xml:space="preserve"> pedagogy</w:t>
            </w:r>
            <w:r w:rsidR="00EA08DD" w:rsidRPr="002C1C62">
              <w:rPr>
                <w:rFonts w:asciiTheme="majorHAnsi" w:hAnsiTheme="majorHAnsi"/>
                <w:color w:val="2F2B20" w:themeColor="background1"/>
              </w:rPr>
              <w:t xml:space="preserve"> and</w:t>
            </w:r>
            <w:r w:rsidRPr="002C1C62">
              <w:rPr>
                <w:rFonts w:asciiTheme="majorHAnsi" w:hAnsiTheme="majorHAnsi"/>
                <w:color w:val="2F2B20" w:themeColor="background1"/>
              </w:rPr>
              <w:t xml:space="preserve"> offering a supportive, engaging research environment, including ensuring the support for supervisors. </w:t>
            </w:r>
          </w:p>
        </w:tc>
      </w:tr>
      <w:tr w:rsidR="002C1C62" w:rsidRPr="002C1C62" w14:paraId="4564B68E" w14:textId="77777777" w:rsidTr="002B2C32">
        <w:trPr>
          <w:trHeight w:val="2072"/>
        </w:trPr>
        <w:tc>
          <w:tcPr>
            <w:tcW w:w="3007" w:type="dxa"/>
          </w:tcPr>
          <w:p w14:paraId="7BB6E256" w14:textId="77777777" w:rsidR="00D8231D" w:rsidRPr="002C1C62" w:rsidRDefault="001D5D81" w:rsidP="002B2C32">
            <w:pPr>
              <w:spacing w:before="80" w:after="80"/>
              <w:rPr>
                <w:rFonts w:asciiTheme="majorHAnsi" w:hAnsiTheme="majorHAnsi"/>
                <w:color w:val="2F2B20" w:themeColor="background1"/>
              </w:rPr>
            </w:pPr>
            <w:r w:rsidRPr="002C1C62">
              <w:rPr>
                <w:rFonts w:asciiTheme="majorHAnsi" w:hAnsiTheme="majorHAnsi"/>
                <w:color w:val="2F2B20" w:themeColor="background1"/>
              </w:rPr>
              <w:t xml:space="preserve">Reason for </w:t>
            </w:r>
            <w:r w:rsidR="00785267" w:rsidRPr="002C1C62">
              <w:rPr>
                <w:rFonts w:asciiTheme="majorHAnsi" w:hAnsiTheme="majorHAnsi"/>
                <w:color w:val="2F2B20" w:themeColor="background1"/>
              </w:rPr>
              <w:t>Policy</w:t>
            </w:r>
          </w:p>
          <w:p w14:paraId="32160790" w14:textId="77777777" w:rsidR="00D8231D" w:rsidRPr="002C1C62" w:rsidRDefault="001D5D81" w:rsidP="002B2C32">
            <w:pPr>
              <w:spacing w:before="80" w:after="80"/>
              <w:rPr>
                <w:rFonts w:asciiTheme="majorHAnsi" w:hAnsiTheme="majorHAnsi"/>
                <w:color w:val="2F2B20" w:themeColor="background1"/>
              </w:rPr>
            </w:pPr>
            <w:r w:rsidRPr="002C1C62">
              <w:rPr>
                <w:rFonts w:asciiTheme="majorHAnsi" w:hAnsiTheme="majorHAnsi"/>
                <w:color w:val="2F2B20" w:themeColor="background1"/>
              </w:rPr>
              <w:t>(What this p</w:t>
            </w:r>
            <w:r w:rsidR="00785267" w:rsidRPr="002C1C62">
              <w:rPr>
                <w:rFonts w:asciiTheme="majorHAnsi" w:hAnsiTheme="majorHAnsi"/>
                <w:color w:val="2F2B20" w:themeColor="background1"/>
              </w:rPr>
              <w:t>olicy</w:t>
            </w:r>
            <w:r w:rsidR="00D8231D" w:rsidRPr="002C1C62">
              <w:rPr>
                <w:rFonts w:asciiTheme="majorHAnsi" w:hAnsiTheme="majorHAnsi"/>
                <w:color w:val="2F2B20" w:themeColor="background1"/>
              </w:rPr>
              <w:t xml:space="preserve"> aims to achieve)</w:t>
            </w:r>
          </w:p>
        </w:tc>
        <w:tc>
          <w:tcPr>
            <w:tcW w:w="6917" w:type="dxa"/>
            <w:vAlign w:val="center"/>
          </w:tcPr>
          <w:p w14:paraId="6ADD431E" w14:textId="7A42E26D" w:rsidR="00D8231D" w:rsidRPr="002C1C62" w:rsidRDefault="002B2C32" w:rsidP="00EA08DD">
            <w:pPr>
              <w:spacing w:before="80" w:after="80"/>
              <w:rPr>
                <w:rFonts w:asciiTheme="majorHAnsi" w:hAnsiTheme="majorHAnsi"/>
                <w:color w:val="2F2B20" w:themeColor="background1"/>
                <w:lang w:val="en-GB"/>
              </w:rPr>
            </w:pPr>
            <w:r w:rsidRPr="002C1C62">
              <w:rPr>
                <w:rFonts w:asciiTheme="majorHAnsi" w:hAnsiTheme="majorHAnsi"/>
                <w:color w:val="2F2B20" w:themeColor="background1"/>
              </w:rPr>
              <w:t xml:space="preserve">HDR is where teaching and research come together, as is acknowledged in the </w:t>
            </w:r>
            <w:r w:rsidR="004621E2" w:rsidRPr="002C1C62">
              <w:rPr>
                <w:rFonts w:asciiTheme="majorHAnsi" w:hAnsiTheme="majorHAnsi"/>
                <w:color w:val="2F2B20" w:themeColor="background1"/>
              </w:rPr>
              <w:t xml:space="preserve">national </w:t>
            </w:r>
            <w:r w:rsidRPr="002C1C62">
              <w:rPr>
                <w:rFonts w:asciiTheme="majorHAnsi" w:hAnsiTheme="majorHAnsi"/>
                <w:color w:val="2F2B20" w:themeColor="background1"/>
              </w:rPr>
              <w:t xml:space="preserve">funding formula whereby HDR students are funded in the ‘teaching input’ section and HDR graduates are funded in the ‘research output’ section. The practices and processes of HDR education are thus complex and cannot be fully attended to in one document. </w:t>
            </w:r>
            <w:r w:rsidR="00EA08DD" w:rsidRPr="002C1C62">
              <w:rPr>
                <w:rFonts w:asciiTheme="majorHAnsi" w:hAnsiTheme="majorHAnsi"/>
                <w:color w:val="2F2B20" w:themeColor="background1"/>
              </w:rPr>
              <w:t>However, t</w:t>
            </w:r>
            <w:r w:rsidRPr="002C1C62">
              <w:rPr>
                <w:rFonts w:asciiTheme="majorHAnsi" w:hAnsiTheme="majorHAnsi"/>
                <w:color w:val="2F2B20" w:themeColor="background1"/>
              </w:rPr>
              <w:t>his policy aims to provide the broad principles and structures within which such education takes place.</w:t>
            </w:r>
          </w:p>
        </w:tc>
      </w:tr>
      <w:tr w:rsidR="002C1C62" w:rsidRPr="002C1C62" w14:paraId="3A2201FC" w14:textId="77777777" w:rsidTr="001D5D81">
        <w:tc>
          <w:tcPr>
            <w:tcW w:w="3007" w:type="dxa"/>
          </w:tcPr>
          <w:p w14:paraId="43BC4BB7" w14:textId="2F3BA610" w:rsidR="00D8231D" w:rsidRPr="002C1C62" w:rsidRDefault="00785267" w:rsidP="002B2C32">
            <w:pPr>
              <w:spacing w:before="80" w:after="80"/>
              <w:rPr>
                <w:rFonts w:asciiTheme="majorHAnsi" w:hAnsiTheme="majorHAnsi"/>
                <w:color w:val="2F2B20" w:themeColor="background1"/>
              </w:rPr>
            </w:pPr>
            <w:r w:rsidRPr="002C1C62">
              <w:rPr>
                <w:rFonts w:asciiTheme="majorHAnsi" w:hAnsiTheme="majorHAnsi"/>
                <w:color w:val="2F2B20" w:themeColor="background1"/>
              </w:rPr>
              <w:t>People affected by this Policy</w:t>
            </w:r>
          </w:p>
          <w:p w14:paraId="29B17510" w14:textId="77777777" w:rsidR="00D8231D" w:rsidRPr="002C1C62" w:rsidRDefault="00D8231D" w:rsidP="002B2C32">
            <w:pPr>
              <w:spacing w:before="80" w:after="80"/>
              <w:rPr>
                <w:rFonts w:asciiTheme="majorHAnsi" w:hAnsiTheme="majorHAnsi"/>
                <w:color w:val="2F2B20" w:themeColor="background1"/>
              </w:rPr>
            </w:pPr>
            <w:r w:rsidRPr="002C1C62">
              <w:rPr>
                <w:rFonts w:asciiTheme="majorHAnsi" w:hAnsiTheme="majorHAnsi"/>
                <w:color w:val="2F2B20" w:themeColor="background1"/>
              </w:rPr>
              <w:t>(</w:t>
            </w:r>
            <w:r w:rsidR="001D5D81" w:rsidRPr="002C1C62">
              <w:rPr>
                <w:rFonts w:asciiTheme="majorHAnsi" w:hAnsiTheme="majorHAnsi"/>
                <w:color w:val="2F2B20" w:themeColor="background1"/>
              </w:rPr>
              <w:t xml:space="preserve">e.g. </w:t>
            </w:r>
            <w:r w:rsidRPr="002C1C62">
              <w:rPr>
                <w:rFonts w:asciiTheme="majorHAnsi" w:hAnsiTheme="majorHAnsi"/>
                <w:color w:val="2F2B20" w:themeColor="background1"/>
              </w:rPr>
              <w:t>All units of the University)</w:t>
            </w:r>
          </w:p>
        </w:tc>
        <w:tc>
          <w:tcPr>
            <w:tcW w:w="6917" w:type="dxa"/>
            <w:vAlign w:val="center"/>
          </w:tcPr>
          <w:p w14:paraId="17E4A887" w14:textId="26C1E5C2" w:rsidR="005B4837" w:rsidRPr="002C1C62" w:rsidRDefault="00984ADA" w:rsidP="002B2C32">
            <w:pPr>
              <w:pStyle w:val="Default"/>
              <w:spacing w:before="80" w:after="80"/>
              <w:ind w:right="34"/>
              <w:rPr>
                <w:rFonts w:asciiTheme="majorHAnsi" w:hAnsiTheme="majorHAnsi" w:cs="Calibri"/>
                <w:color w:val="2F2B20" w:themeColor="background1"/>
                <w:sz w:val="22"/>
                <w:szCs w:val="22"/>
                <w:lang w:val="en-GB"/>
              </w:rPr>
            </w:pPr>
            <w:r w:rsidRPr="002C1C62">
              <w:rPr>
                <w:rFonts w:asciiTheme="majorHAnsi" w:hAnsiTheme="majorHAnsi" w:cs="Calibri"/>
                <w:color w:val="2F2B20" w:themeColor="background1"/>
                <w:sz w:val="22"/>
                <w:szCs w:val="22"/>
                <w:lang w:val="en-GB"/>
              </w:rPr>
              <w:t>This policy refers to all supervisors and stu</w:t>
            </w:r>
            <w:r w:rsidR="00EA08DD" w:rsidRPr="002C1C62">
              <w:rPr>
                <w:rFonts w:asciiTheme="majorHAnsi" w:hAnsiTheme="majorHAnsi" w:cs="Calibri"/>
                <w:color w:val="2F2B20" w:themeColor="background1"/>
                <w:sz w:val="22"/>
                <w:szCs w:val="22"/>
                <w:lang w:val="en-GB"/>
              </w:rPr>
              <w:t xml:space="preserve">dents involved in Higher Degrees by </w:t>
            </w:r>
            <w:r w:rsidRPr="002C1C62">
              <w:rPr>
                <w:rFonts w:asciiTheme="majorHAnsi" w:hAnsiTheme="majorHAnsi" w:cs="Calibri"/>
                <w:color w:val="2F2B20" w:themeColor="background1"/>
                <w:sz w:val="22"/>
                <w:szCs w:val="22"/>
                <w:lang w:val="en-GB"/>
              </w:rPr>
              <w:t>Research, all Heads of Department, all Deans, the DVC: Research and the Director of the Centre for Postgraduate Studies</w:t>
            </w:r>
          </w:p>
        </w:tc>
      </w:tr>
      <w:tr w:rsidR="002C1C62" w:rsidRPr="002C1C62" w14:paraId="417ECBD0" w14:textId="77777777" w:rsidTr="001D5D81">
        <w:tc>
          <w:tcPr>
            <w:tcW w:w="3007" w:type="dxa"/>
          </w:tcPr>
          <w:p w14:paraId="45B2EA34" w14:textId="77777777" w:rsidR="007C5FC4" w:rsidRPr="002C1C62" w:rsidRDefault="00785267" w:rsidP="002B2C32">
            <w:pPr>
              <w:spacing w:before="80" w:after="80"/>
              <w:rPr>
                <w:rFonts w:asciiTheme="majorHAnsi" w:hAnsiTheme="majorHAnsi"/>
                <w:color w:val="2F2B20" w:themeColor="background1"/>
              </w:rPr>
            </w:pPr>
            <w:r w:rsidRPr="002C1C62">
              <w:rPr>
                <w:rFonts w:asciiTheme="majorHAnsi" w:hAnsiTheme="majorHAnsi"/>
                <w:color w:val="2F2B20" w:themeColor="background1"/>
              </w:rPr>
              <w:t>Who should read this Policy</w:t>
            </w:r>
          </w:p>
          <w:p w14:paraId="7BCF9591" w14:textId="77777777" w:rsidR="007C5FC4" w:rsidRPr="002C1C62" w:rsidRDefault="007C5FC4" w:rsidP="002B2C32">
            <w:pPr>
              <w:spacing w:before="80" w:after="80"/>
              <w:rPr>
                <w:rFonts w:asciiTheme="majorHAnsi" w:hAnsiTheme="majorHAnsi"/>
                <w:color w:val="2F2B20" w:themeColor="background1"/>
              </w:rPr>
            </w:pPr>
            <w:r w:rsidRPr="002C1C62">
              <w:rPr>
                <w:rFonts w:asciiTheme="majorHAnsi" w:hAnsiTheme="majorHAnsi"/>
                <w:color w:val="2F2B20" w:themeColor="background1"/>
              </w:rPr>
              <w:t>(Peo</w:t>
            </w:r>
            <w:r w:rsidR="001D5D81" w:rsidRPr="002C1C62">
              <w:rPr>
                <w:rFonts w:asciiTheme="majorHAnsi" w:hAnsiTheme="majorHAnsi"/>
                <w:color w:val="2F2B20" w:themeColor="background1"/>
              </w:rPr>
              <w:t>ple who need to heed this p</w:t>
            </w:r>
            <w:r w:rsidR="00785267" w:rsidRPr="002C1C62">
              <w:rPr>
                <w:rFonts w:asciiTheme="majorHAnsi" w:hAnsiTheme="majorHAnsi"/>
                <w:color w:val="2F2B20" w:themeColor="background1"/>
              </w:rPr>
              <w:t>olicy</w:t>
            </w:r>
            <w:r w:rsidRPr="002C1C62">
              <w:rPr>
                <w:rFonts w:asciiTheme="majorHAnsi" w:hAnsiTheme="majorHAnsi"/>
                <w:color w:val="2F2B20" w:themeColor="background1"/>
              </w:rPr>
              <w:t xml:space="preserve"> to fulfil the</w:t>
            </w:r>
            <w:r w:rsidR="001D5D81" w:rsidRPr="002C1C62">
              <w:rPr>
                <w:rFonts w:asciiTheme="majorHAnsi" w:hAnsiTheme="majorHAnsi"/>
                <w:color w:val="2F2B20" w:themeColor="background1"/>
              </w:rPr>
              <w:t>ir</w:t>
            </w:r>
            <w:r w:rsidRPr="002C1C62">
              <w:rPr>
                <w:rFonts w:asciiTheme="majorHAnsi" w:hAnsiTheme="majorHAnsi"/>
                <w:color w:val="2F2B20" w:themeColor="background1"/>
              </w:rPr>
              <w:t xml:space="preserve"> duties)</w:t>
            </w:r>
          </w:p>
        </w:tc>
        <w:tc>
          <w:tcPr>
            <w:tcW w:w="6917" w:type="dxa"/>
            <w:vAlign w:val="center"/>
          </w:tcPr>
          <w:p w14:paraId="65A9E338" w14:textId="5DB9D93D" w:rsidR="007C5FC4" w:rsidRPr="002C1C62" w:rsidRDefault="00984ADA" w:rsidP="002B2C32">
            <w:pPr>
              <w:pStyle w:val="Default"/>
              <w:spacing w:before="80" w:after="80"/>
              <w:rPr>
                <w:rFonts w:asciiTheme="majorHAnsi" w:hAnsiTheme="majorHAnsi" w:cs="Calibri"/>
                <w:color w:val="2F2B20" w:themeColor="background1"/>
                <w:sz w:val="22"/>
                <w:szCs w:val="22"/>
                <w:lang w:val="en-GB"/>
              </w:rPr>
            </w:pPr>
            <w:r w:rsidRPr="002C1C62">
              <w:rPr>
                <w:rFonts w:asciiTheme="majorHAnsi" w:hAnsiTheme="majorHAnsi" w:cs="Calibri"/>
                <w:color w:val="2F2B20" w:themeColor="background1"/>
                <w:sz w:val="22"/>
                <w:szCs w:val="22"/>
                <w:lang w:val="en-GB"/>
              </w:rPr>
              <w:t xml:space="preserve">All those whose work relates to postgraduate studies in any way. </w:t>
            </w:r>
          </w:p>
        </w:tc>
      </w:tr>
      <w:tr w:rsidR="002C1C62" w:rsidRPr="002C1C62" w14:paraId="08F71AC2" w14:textId="77777777" w:rsidTr="001D5D81">
        <w:tc>
          <w:tcPr>
            <w:tcW w:w="3007" w:type="dxa"/>
          </w:tcPr>
          <w:p w14:paraId="385DB6B1" w14:textId="77777777" w:rsidR="007C5FC4" w:rsidRPr="00902211" w:rsidRDefault="007C5FC4" w:rsidP="002B2C32">
            <w:pPr>
              <w:spacing w:before="80" w:after="80"/>
              <w:rPr>
                <w:rFonts w:asciiTheme="majorHAnsi" w:hAnsiTheme="majorHAnsi"/>
                <w:color w:val="2F2B20" w:themeColor="background1"/>
              </w:rPr>
            </w:pPr>
            <w:r w:rsidRPr="00902211">
              <w:rPr>
                <w:rFonts w:asciiTheme="majorHAnsi" w:hAnsiTheme="majorHAnsi"/>
                <w:color w:val="2F2B20" w:themeColor="background1"/>
              </w:rPr>
              <w:t>Webs</w:t>
            </w:r>
            <w:r w:rsidR="001D5D81" w:rsidRPr="00902211">
              <w:rPr>
                <w:rFonts w:asciiTheme="majorHAnsi" w:hAnsiTheme="majorHAnsi"/>
                <w:color w:val="2F2B20" w:themeColor="background1"/>
              </w:rPr>
              <w:t>it</w:t>
            </w:r>
            <w:r w:rsidR="00785267" w:rsidRPr="00902211">
              <w:rPr>
                <w:rFonts w:asciiTheme="majorHAnsi" w:hAnsiTheme="majorHAnsi"/>
                <w:color w:val="2F2B20" w:themeColor="background1"/>
              </w:rPr>
              <w:t>e address/link for this Policy</w:t>
            </w:r>
          </w:p>
        </w:tc>
        <w:tc>
          <w:tcPr>
            <w:tcW w:w="6917" w:type="dxa"/>
            <w:vAlign w:val="center"/>
          </w:tcPr>
          <w:p w14:paraId="5844073B" w14:textId="77777777" w:rsidR="00902211" w:rsidRPr="00902211" w:rsidRDefault="00902211" w:rsidP="00902211">
            <w:pPr>
              <w:rPr>
                <w:rFonts w:asciiTheme="majorHAnsi" w:eastAsia="Times New Roman" w:hAnsiTheme="majorHAnsi"/>
              </w:rPr>
            </w:pPr>
            <w:r w:rsidRPr="00902211">
              <w:rPr>
                <w:rFonts w:asciiTheme="majorHAnsi" w:eastAsia="Times New Roman" w:hAnsiTheme="majorHAnsi"/>
                <w:color w:val="000000"/>
              </w:rPr>
              <w:t> </w:t>
            </w:r>
            <w:hyperlink r:id="rId7" w:history="1">
              <w:r w:rsidRPr="00902211">
                <w:rPr>
                  <w:rFonts w:asciiTheme="majorHAnsi" w:eastAsia="Times New Roman" w:hAnsiTheme="majorHAnsi"/>
                  <w:color w:val="0000FF"/>
                  <w:u w:val="single"/>
                </w:rPr>
                <w:t>http://www.ru.ac.za/governance/rupolicies/</w:t>
              </w:r>
            </w:hyperlink>
          </w:p>
          <w:p w14:paraId="7E366CC1" w14:textId="2BC97370" w:rsidR="007C5FC4" w:rsidRPr="00902211" w:rsidRDefault="007C5FC4" w:rsidP="002B2C32">
            <w:pPr>
              <w:pStyle w:val="Default"/>
              <w:spacing w:before="80" w:after="80"/>
              <w:rPr>
                <w:rFonts w:asciiTheme="majorHAnsi" w:hAnsiTheme="majorHAnsi"/>
                <w:color w:val="2F2B20" w:themeColor="background1"/>
                <w:lang w:val="en-GB"/>
              </w:rPr>
            </w:pPr>
          </w:p>
        </w:tc>
      </w:tr>
    </w:tbl>
    <w:p w14:paraId="28DB6C44" w14:textId="77777777" w:rsidR="00000D65" w:rsidRPr="002C1C62" w:rsidRDefault="00000D65" w:rsidP="002B2C32">
      <w:pPr>
        <w:spacing w:before="80" w:after="80"/>
        <w:rPr>
          <w:rFonts w:asciiTheme="majorHAnsi" w:hAnsiTheme="majorHAnsi"/>
          <w:color w:val="2F2B20" w:themeColor="background1"/>
          <w:lang w:val="en-GB"/>
        </w:rPr>
      </w:pPr>
    </w:p>
    <w:p w14:paraId="04D52A73" w14:textId="77777777" w:rsidR="00D8231D" w:rsidRPr="002C1C62" w:rsidRDefault="00D8231D" w:rsidP="002B2C32">
      <w:pPr>
        <w:spacing w:before="80" w:after="80"/>
        <w:rPr>
          <w:rFonts w:asciiTheme="majorHAnsi" w:hAnsiTheme="majorHAnsi"/>
          <w:color w:val="2F2B20" w:themeColor="background1"/>
          <w:lang w:val="en-GB"/>
        </w:rPr>
      </w:pPr>
      <w:r w:rsidRPr="002C1C62">
        <w:rPr>
          <w:rFonts w:asciiTheme="majorHAnsi" w:hAnsiTheme="majorHAnsi"/>
          <w:color w:val="2F2B20" w:themeColor="background1"/>
          <w:lang w:val="en-GB"/>
        </w:rPr>
        <w:t>RELATED DOCUMENTS FORMS AND TOOLS</w:t>
      </w:r>
    </w:p>
    <w:p w14:paraId="00CA24AB" w14:textId="77777777" w:rsidR="00A80F59" w:rsidRPr="002C1C62" w:rsidRDefault="00A80F59" w:rsidP="002B2C32">
      <w:pPr>
        <w:spacing w:before="80" w:after="80"/>
        <w:rPr>
          <w:rFonts w:asciiTheme="majorHAnsi" w:hAnsiTheme="majorHAnsi"/>
          <w:color w:val="2F2B20" w:themeColor="background1"/>
          <w:lang w:val="en-GB"/>
        </w:rPr>
      </w:pPr>
      <w:r w:rsidRPr="002C1C62">
        <w:rPr>
          <w:rFonts w:asciiTheme="majorHAnsi" w:hAnsiTheme="majorHAnsi"/>
          <w:color w:val="2F2B20" w:themeColor="background1"/>
          <w:lang w:val="en-GB"/>
        </w:rPr>
        <w:t>(University Policies, Protocols and Documents (such as rules/policies/protocols/gui</w:t>
      </w:r>
      <w:r w:rsidR="00785267" w:rsidRPr="002C1C62">
        <w:rPr>
          <w:rFonts w:asciiTheme="majorHAnsi" w:hAnsiTheme="majorHAnsi"/>
          <w:color w:val="2F2B20" w:themeColor="background1"/>
          <w:lang w:val="en-GB"/>
        </w:rPr>
        <w:t>delines related to this policy</w:t>
      </w:r>
      <w:r w:rsidRPr="002C1C62">
        <w:rPr>
          <w:rFonts w:asciiTheme="majorHAnsi" w:hAnsiTheme="majorHAnsi"/>
          <w:color w:val="2F2B20" w:themeColor="background1"/>
          <w:lang w:val="en-GB"/>
        </w:rPr>
        <w:t>)</w:t>
      </w:r>
    </w:p>
    <w:tbl>
      <w:tblPr>
        <w:tblStyle w:val="TableGrid"/>
        <w:tblW w:w="9924" w:type="dxa"/>
        <w:tblInd w:w="-318" w:type="dxa"/>
        <w:tblLook w:val="04A0" w:firstRow="1" w:lastRow="0" w:firstColumn="1" w:lastColumn="0" w:noHBand="0" w:noVBand="1"/>
      </w:tblPr>
      <w:tblGrid>
        <w:gridCol w:w="9924"/>
      </w:tblGrid>
      <w:tr w:rsidR="002C1C62" w:rsidRPr="002C1C62" w14:paraId="613BB847" w14:textId="77777777" w:rsidTr="001D5D81">
        <w:tc>
          <w:tcPr>
            <w:tcW w:w="9924" w:type="dxa"/>
          </w:tcPr>
          <w:p w14:paraId="65ED7203" w14:textId="77777777" w:rsidR="00D8231D" w:rsidRPr="002C1C62" w:rsidRDefault="00A80F59" w:rsidP="002B2C32">
            <w:pPr>
              <w:spacing w:before="80" w:after="80"/>
              <w:rPr>
                <w:rFonts w:asciiTheme="majorHAnsi" w:hAnsiTheme="majorHAnsi"/>
                <w:color w:val="2F2B20" w:themeColor="background1"/>
              </w:rPr>
            </w:pPr>
            <w:r w:rsidRPr="002C1C62">
              <w:rPr>
                <w:rFonts w:asciiTheme="majorHAnsi" w:hAnsiTheme="majorHAnsi"/>
                <w:b/>
                <w:color w:val="2F2B20" w:themeColor="background1"/>
              </w:rPr>
              <w:t>Relevant Legislation</w:t>
            </w:r>
            <w:r w:rsidRPr="002C1C62">
              <w:rPr>
                <w:rFonts w:asciiTheme="majorHAnsi" w:hAnsiTheme="majorHAnsi"/>
                <w:color w:val="2F2B20" w:themeColor="background1"/>
              </w:rPr>
              <w:t xml:space="preserve"> (Legislation/Regulatory requirements/Organisational Reports – name these)</w:t>
            </w:r>
          </w:p>
        </w:tc>
      </w:tr>
      <w:tr w:rsidR="002C1C62" w:rsidRPr="002C1C62" w14:paraId="74DEAB2B" w14:textId="77777777" w:rsidTr="001D5D81">
        <w:tc>
          <w:tcPr>
            <w:tcW w:w="9924" w:type="dxa"/>
          </w:tcPr>
          <w:p w14:paraId="280221FD" w14:textId="76B8D2A3" w:rsidR="001D5D81" w:rsidRPr="002C1C62" w:rsidRDefault="00984ADA" w:rsidP="002B2C32">
            <w:pPr>
              <w:spacing w:before="80" w:after="80"/>
              <w:rPr>
                <w:rFonts w:asciiTheme="majorHAnsi" w:hAnsiTheme="majorHAnsi"/>
                <w:color w:val="2F2B20" w:themeColor="background1"/>
              </w:rPr>
            </w:pPr>
            <w:r w:rsidRPr="002C1C62">
              <w:rPr>
                <w:rFonts w:asciiTheme="majorHAnsi" w:hAnsiTheme="majorHAnsi"/>
                <w:color w:val="2F2B20" w:themeColor="background1"/>
              </w:rPr>
              <w:t>Higher Education Qualifications Sub-Framework</w:t>
            </w:r>
          </w:p>
        </w:tc>
      </w:tr>
      <w:tr w:rsidR="002C1C62" w:rsidRPr="002C1C62" w14:paraId="0D108344" w14:textId="77777777" w:rsidTr="001D5D81">
        <w:tc>
          <w:tcPr>
            <w:tcW w:w="9924" w:type="dxa"/>
          </w:tcPr>
          <w:p w14:paraId="1D597CAC" w14:textId="77777777" w:rsidR="00D8231D" w:rsidRPr="002C1C62" w:rsidRDefault="00A80F59" w:rsidP="002B2C32">
            <w:pPr>
              <w:spacing w:before="80" w:after="80"/>
              <w:rPr>
                <w:rFonts w:asciiTheme="majorHAnsi" w:hAnsiTheme="majorHAnsi"/>
                <w:b/>
                <w:color w:val="2F2B20" w:themeColor="background1"/>
              </w:rPr>
            </w:pPr>
            <w:r w:rsidRPr="002C1C62">
              <w:rPr>
                <w:rFonts w:asciiTheme="majorHAnsi" w:hAnsiTheme="majorHAnsi"/>
                <w:b/>
                <w:color w:val="2F2B20" w:themeColor="background1"/>
              </w:rPr>
              <w:t>Related Policies</w:t>
            </w:r>
          </w:p>
        </w:tc>
      </w:tr>
      <w:tr w:rsidR="002C1C62" w:rsidRPr="002C1C62" w14:paraId="4BD95D40" w14:textId="77777777" w:rsidTr="001D5D81">
        <w:tc>
          <w:tcPr>
            <w:tcW w:w="9924" w:type="dxa"/>
          </w:tcPr>
          <w:p w14:paraId="5E9F0686" w14:textId="15CA2883" w:rsidR="00984ADA" w:rsidRPr="002C1C62" w:rsidRDefault="00984ADA" w:rsidP="002B2C32">
            <w:pPr>
              <w:spacing w:before="80" w:after="80"/>
              <w:rPr>
                <w:rFonts w:asciiTheme="majorHAnsi" w:hAnsiTheme="majorHAnsi"/>
                <w:color w:val="2F2B20" w:themeColor="background1"/>
              </w:rPr>
            </w:pPr>
            <w:r w:rsidRPr="002C1C62">
              <w:rPr>
                <w:rFonts w:asciiTheme="majorHAnsi" w:hAnsiTheme="majorHAnsi"/>
                <w:color w:val="2F2B20" w:themeColor="background1"/>
              </w:rPr>
              <w:t>Rhodes University Calendar</w:t>
            </w:r>
          </w:p>
          <w:p w14:paraId="7B2EC21A" w14:textId="77777777" w:rsidR="002D6595" w:rsidRPr="002C1C62" w:rsidRDefault="002D6595" w:rsidP="002B2C32">
            <w:pPr>
              <w:spacing w:before="80" w:after="80"/>
              <w:rPr>
                <w:rFonts w:asciiTheme="majorHAnsi" w:hAnsiTheme="majorHAnsi"/>
                <w:color w:val="2F2B20" w:themeColor="background1"/>
              </w:rPr>
            </w:pPr>
            <w:r w:rsidRPr="002C1C62">
              <w:rPr>
                <w:rFonts w:asciiTheme="majorHAnsi" w:hAnsiTheme="majorHAnsi"/>
                <w:color w:val="2F2B20" w:themeColor="background1"/>
              </w:rPr>
              <w:t>Rhodes University Higher Degrees Guide</w:t>
            </w:r>
          </w:p>
        </w:tc>
      </w:tr>
      <w:tr w:rsidR="002C1C62" w:rsidRPr="002C1C62" w14:paraId="312DD795" w14:textId="77777777" w:rsidTr="001D5D81">
        <w:tc>
          <w:tcPr>
            <w:tcW w:w="9924" w:type="dxa"/>
          </w:tcPr>
          <w:p w14:paraId="6CDB3930" w14:textId="77777777" w:rsidR="00A80F59" w:rsidRPr="002C1C62" w:rsidRDefault="00A80F59" w:rsidP="002B2C32">
            <w:pPr>
              <w:spacing w:before="80" w:after="80"/>
              <w:rPr>
                <w:rFonts w:asciiTheme="majorHAnsi" w:hAnsiTheme="majorHAnsi"/>
                <w:b/>
                <w:color w:val="2F2B20" w:themeColor="background1"/>
              </w:rPr>
            </w:pPr>
            <w:r w:rsidRPr="002C1C62">
              <w:rPr>
                <w:rFonts w:asciiTheme="majorHAnsi" w:hAnsiTheme="majorHAnsi"/>
                <w:b/>
                <w:color w:val="2F2B20" w:themeColor="background1"/>
              </w:rPr>
              <w:t>Related Protocols</w:t>
            </w:r>
          </w:p>
        </w:tc>
      </w:tr>
      <w:tr w:rsidR="002C1C62" w:rsidRPr="002C1C62" w14:paraId="093E535C" w14:textId="77777777" w:rsidTr="001D5D81">
        <w:tc>
          <w:tcPr>
            <w:tcW w:w="9924" w:type="dxa"/>
          </w:tcPr>
          <w:p w14:paraId="46B42D65" w14:textId="6B208C19" w:rsidR="00A80F59" w:rsidRPr="002C1C62" w:rsidRDefault="00902211" w:rsidP="002B2C32">
            <w:pPr>
              <w:spacing w:before="80" w:after="80"/>
              <w:rPr>
                <w:rFonts w:asciiTheme="majorHAnsi" w:hAnsiTheme="majorHAnsi"/>
                <w:color w:val="2F2B20" w:themeColor="background1"/>
              </w:rPr>
            </w:pPr>
            <w:r>
              <w:rPr>
                <w:rFonts w:asciiTheme="majorHAnsi" w:hAnsiTheme="majorHAnsi"/>
                <w:color w:val="2F2B20" w:themeColor="background1"/>
              </w:rPr>
              <w:t>Protocol on Managing of Close Relationships between Staff and Students and between Staff</w:t>
            </w:r>
          </w:p>
        </w:tc>
      </w:tr>
      <w:tr w:rsidR="002C1C62" w:rsidRPr="002C1C62" w14:paraId="17691DD4" w14:textId="77777777" w:rsidTr="001D5D81">
        <w:tc>
          <w:tcPr>
            <w:tcW w:w="9924" w:type="dxa"/>
          </w:tcPr>
          <w:p w14:paraId="3710B7D4" w14:textId="77777777" w:rsidR="002D6595" w:rsidRPr="002C1C62" w:rsidRDefault="00A80F59" w:rsidP="002B2C32">
            <w:pPr>
              <w:spacing w:before="80" w:after="80"/>
              <w:rPr>
                <w:rFonts w:asciiTheme="majorHAnsi" w:hAnsiTheme="majorHAnsi"/>
                <w:color w:val="2F2B20" w:themeColor="background1"/>
              </w:rPr>
            </w:pPr>
            <w:r w:rsidRPr="002C1C62">
              <w:rPr>
                <w:rFonts w:asciiTheme="majorHAnsi" w:hAnsiTheme="majorHAnsi"/>
                <w:b/>
                <w:color w:val="2F2B20" w:themeColor="background1"/>
              </w:rPr>
              <w:t>Forms and Tools</w:t>
            </w:r>
            <w:r w:rsidRPr="002C1C62">
              <w:rPr>
                <w:rFonts w:asciiTheme="majorHAnsi" w:hAnsiTheme="majorHAnsi"/>
                <w:color w:val="2F2B20" w:themeColor="background1"/>
              </w:rPr>
              <w:t xml:space="preserve"> (documents to be compl</w:t>
            </w:r>
            <w:r w:rsidR="00785267" w:rsidRPr="002C1C62">
              <w:rPr>
                <w:rFonts w:asciiTheme="majorHAnsi" w:hAnsiTheme="majorHAnsi"/>
                <w:color w:val="2F2B20" w:themeColor="background1"/>
              </w:rPr>
              <w:t>eted in support of this policy</w:t>
            </w:r>
            <w:r w:rsidRPr="002C1C62">
              <w:rPr>
                <w:rFonts w:asciiTheme="majorHAnsi" w:hAnsiTheme="majorHAnsi"/>
                <w:color w:val="2F2B20" w:themeColor="background1"/>
              </w:rPr>
              <w:t xml:space="preserve"> implementation)</w:t>
            </w:r>
          </w:p>
        </w:tc>
      </w:tr>
      <w:tr w:rsidR="002C1C62" w:rsidRPr="002C1C62" w14:paraId="35697507" w14:textId="77777777" w:rsidTr="00EA08DD">
        <w:trPr>
          <w:trHeight w:val="506"/>
        </w:trPr>
        <w:tc>
          <w:tcPr>
            <w:tcW w:w="9924" w:type="dxa"/>
          </w:tcPr>
          <w:p w14:paraId="36AA1161" w14:textId="426AD892" w:rsidR="00D8231D" w:rsidRPr="002C1C62" w:rsidRDefault="00D8231D" w:rsidP="002B2C32">
            <w:pPr>
              <w:spacing w:before="80" w:after="80"/>
              <w:rPr>
                <w:rFonts w:asciiTheme="majorHAnsi" w:hAnsiTheme="majorHAnsi"/>
                <w:color w:val="2F2B20" w:themeColor="background1"/>
              </w:rPr>
            </w:pPr>
          </w:p>
        </w:tc>
      </w:tr>
    </w:tbl>
    <w:p w14:paraId="16B61E0D" w14:textId="77777777" w:rsidR="00000D65" w:rsidRPr="002C1C62" w:rsidRDefault="00000D65" w:rsidP="002B2C32">
      <w:pPr>
        <w:spacing w:before="80" w:after="80"/>
        <w:rPr>
          <w:rFonts w:asciiTheme="majorHAnsi" w:hAnsiTheme="majorHAnsi"/>
          <w:color w:val="2F2B20" w:themeColor="background1"/>
        </w:rPr>
      </w:pPr>
    </w:p>
    <w:p w14:paraId="0929DBD4" w14:textId="77777777" w:rsidR="00D8231D" w:rsidRPr="002C1C62" w:rsidRDefault="00EE4668" w:rsidP="002B2C32">
      <w:pPr>
        <w:spacing w:before="80" w:after="80"/>
        <w:rPr>
          <w:rFonts w:asciiTheme="majorHAnsi" w:hAnsiTheme="majorHAnsi"/>
          <w:b/>
          <w:color w:val="2F2B20" w:themeColor="background1"/>
          <w:lang w:val="en-GB"/>
        </w:rPr>
      </w:pPr>
      <w:r w:rsidRPr="002C1C62">
        <w:rPr>
          <w:rFonts w:asciiTheme="majorHAnsi" w:hAnsiTheme="majorHAnsi"/>
          <w:b/>
          <w:color w:val="2F2B20" w:themeColor="background1"/>
          <w:lang w:val="en-GB"/>
        </w:rPr>
        <w:t>POLICY</w:t>
      </w:r>
      <w:r w:rsidR="00D8231D" w:rsidRPr="002C1C62">
        <w:rPr>
          <w:rFonts w:asciiTheme="majorHAnsi" w:hAnsiTheme="majorHAnsi"/>
          <w:b/>
          <w:color w:val="2F2B20" w:themeColor="background1"/>
          <w:lang w:val="en-GB"/>
        </w:rPr>
        <w:t xml:space="preserve"> DEFINITIONS </w:t>
      </w:r>
    </w:p>
    <w:p w14:paraId="25E2F6B6" w14:textId="77777777" w:rsidR="00D8231D" w:rsidRPr="002C1C62" w:rsidRDefault="00D8231D" w:rsidP="002B2C32">
      <w:pPr>
        <w:spacing w:before="80" w:after="80"/>
        <w:rPr>
          <w:rFonts w:asciiTheme="majorHAnsi" w:hAnsiTheme="majorHAnsi"/>
          <w:color w:val="2F2B20" w:themeColor="background1"/>
        </w:rPr>
      </w:pPr>
      <w:r w:rsidRPr="002C1C62">
        <w:rPr>
          <w:rFonts w:asciiTheme="majorHAnsi" w:hAnsiTheme="majorHAnsi"/>
          <w:color w:val="2F2B20" w:themeColor="background1"/>
          <w:lang w:val="en-GB"/>
        </w:rPr>
        <w:t>(Technical or Con</w:t>
      </w:r>
      <w:r w:rsidR="001D5D81" w:rsidRPr="002C1C62">
        <w:rPr>
          <w:rFonts w:asciiTheme="majorHAnsi" w:hAnsiTheme="majorHAnsi"/>
          <w:color w:val="2F2B20" w:themeColor="background1"/>
          <w:lang w:val="en-GB"/>
        </w:rPr>
        <w:t>ce</w:t>
      </w:r>
      <w:r w:rsidR="00EE4668" w:rsidRPr="002C1C62">
        <w:rPr>
          <w:rFonts w:asciiTheme="majorHAnsi" w:hAnsiTheme="majorHAnsi"/>
          <w:color w:val="2F2B20" w:themeColor="background1"/>
          <w:lang w:val="en-GB"/>
        </w:rPr>
        <w:t>ptual terms used in the policy</w:t>
      </w:r>
      <w:r w:rsidRPr="002C1C62">
        <w:rPr>
          <w:rFonts w:asciiTheme="majorHAnsi" w:hAnsiTheme="majorHAnsi"/>
          <w:color w:val="2F2B20" w:themeColor="background1"/>
          <w:lang w:val="en-GB"/>
        </w:rPr>
        <w:t>)</w:t>
      </w:r>
    </w:p>
    <w:tbl>
      <w:tblPr>
        <w:tblStyle w:val="TableGrid"/>
        <w:tblW w:w="9924" w:type="dxa"/>
        <w:tblInd w:w="-318" w:type="dxa"/>
        <w:tblLook w:val="04A0" w:firstRow="1" w:lastRow="0" w:firstColumn="1" w:lastColumn="0" w:noHBand="0" w:noVBand="1"/>
      </w:tblPr>
      <w:tblGrid>
        <w:gridCol w:w="1986"/>
        <w:gridCol w:w="7938"/>
      </w:tblGrid>
      <w:tr w:rsidR="002C1C62" w:rsidRPr="002C1C62" w14:paraId="238AA3A5" w14:textId="77777777" w:rsidTr="006A38DB">
        <w:trPr>
          <w:trHeight w:val="429"/>
        </w:trPr>
        <w:tc>
          <w:tcPr>
            <w:tcW w:w="1986" w:type="dxa"/>
          </w:tcPr>
          <w:p w14:paraId="0F1F5B6B" w14:textId="77777777" w:rsidR="006A38DB" w:rsidRPr="002C1C62" w:rsidRDefault="006A38DB" w:rsidP="002B2C32">
            <w:pPr>
              <w:spacing w:before="80" w:after="80"/>
              <w:rPr>
                <w:rFonts w:asciiTheme="majorHAnsi" w:hAnsiTheme="majorHAnsi"/>
                <w:b/>
                <w:color w:val="2F2B20" w:themeColor="background1"/>
              </w:rPr>
            </w:pPr>
            <w:r w:rsidRPr="002C1C62">
              <w:rPr>
                <w:rFonts w:asciiTheme="majorHAnsi" w:hAnsiTheme="majorHAnsi"/>
                <w:b/>
                <w:color w:val="2F2B20" w:themeColor="background1"/>
              </w:rPr>
              <w:t xml:space="preserve">TERM </w:t>
            </w:r>
          </w:p>
        </w:tc>
        <w:tc>
          <w:tcPr>
            <w:tcW w:w="7938" w:type="dxa"/>
          </w:tcPr>
          <w:p w14:paraId="4102CD4C" w14:textId="77777777" w:rsidR="006A38DB" w:rsidRPr="002C1C62" w:rsidRDefault="006A38DB" w:rsidP="002B2C32">
            <w:pPr>
              <w:spacing w:before="80" w:after="80"/>
              <w:rPr>
                <w:rFonts w:asciiTheme="majorHAnsi" w:hAnsiTheme="majorHAnsi"/>
                <w:b/>
                <w:color w:val="2F2B20" w:themeColor="background1"/>
              </w:rPr>
            </w:pPr>
            <w:r w:rsidRPr="002C1C62">
              <w:rPr>
                <w:rFonts w:asciiTheme="majorHAnsi" w:hAnsiTheme="majorHAnsi"/>
                <w:b/>
                <w:color w:val="2F2B20" w:themeColor="background1"/>
              </w:rPr>
              <w:t>DEFINITION</w:t>
            </w:r>
          </w:p>
        </w:tc>
      </w:tr>
      <w:tr w:rsidR="002C1C62" w:rsidRPr="002C1C62" w14:paraId="2FFF6192" w14:textId="77777777" w:rsidTr="006A38DB">
        <w:trPr>
          <w:trHeight w:val="425"/>
        </w:trPr>
        <w:tc>
          <w:tcPr>
            <w:tcW w:w="1986" w:type="dxa"/>
          </w:tcPr>
          <w:p w14:paraId="16CAD1D6" w14:textId="734EDC4D" w:rsidR="002B2C32" w:rsidRPr="002C1C62" w:rsidRDefault="002B2C32" w:rsidP="002B2C32">
            <w:pPr>
              <w:spacing w:before="80" w:after="80"/>
              <w:rPr>
                <w:rFonts w:asciiTheme="majorHAnsi" w:hAnsiTheme="majorHAnsi"/>
                <w:b/>
                <w:color w:val="2F2B20" w:themeColor="background1"/>
              </w:rPr>
            </w:pPr>
            <w:r w:rsidRPr="002C1C62">
              <w:rPr>
                <w:rFonts w:asciiTheme="majorHAnsi" w:hAnsiTheme="majorHAnsi"/>
                <w:b/>
                <w:color w:val="2F2B20" w:themeColor="background1"/>
              </w:rPr>
              <w:t>HDR</w:t>
            </w:r>
          </w:p>
        </w:tc>
        <w:tc>
          <w:tcPr>
            <w:tcW w:w="7938" w:type="dxa"/>
          </w:tcPr>
          <w:p w14:paraId="7DE0B151" w14:textId="72F576C4" w:rsidR="002B2C32" w:rsidRPr="002C1C62" w:rsidRDefault="004621E2" w:rsidP="002B2C32">
            <w:pPr>
              <w:spacing w:before="80" w:after="80"/>
              <w:rPr>
                <w:rFonts w:asciiTheme="majorHAnsi" w:hAnsiTheme="majorHAnsi"/>
                <w:color w:val="2F2B20" w:themeColor="background1"/>
              </w:rPr>
            </w:pPr>
            <w:r w:rsidRPr="002C1C62">
              <w:rPr>
                <w:rFonts w:asciiTheme="majorHAnsi" w:hAnsiTheme="majorHAnsi"/>
                <w:color w:val="2F2B20" w:themeColor="background1"/>
              </w:rPr>
              <w:t>Higher Degrees by Research are postgraduate studies that include a significant portion of supervised research.</w:t>
            </w:r>
          </w:p>
        </w:tc>
      </w:tr>
      <w:tr w:rsidR="002C1C62" w:rsidRPr="002C1C62" w14:paraId="44285DF7" w14:textId="77777777" w:rsidTr="006A38DB">
        <w:trPr>
          <w:trHeight w:val="425"/>
        </w:trPr>
        <w:tc>
          <w:tcPr>
            <w:tcW w:w="1986" w:type="dxa"/>
          </w:tcPr>
          <w:p w14:paraId="18B4ABEA" w14:textId="36DDCC43" w:rsidR="006A38DB" w:rsidRPr="002C1C62" w:rsidRDefault="00984ADA" w:rsidP="002B2C32">
            <w:pPr>
              <w:spacing w:before="80" w:after="80"/>
              <w:rPr>
                <w:rFonts w:asciiTheme="majorHAnsi" w:hAnsiTheme="majorHAnsi"/>
                <w:b/>
                <w:color w:val="2F2B20" w:themeColor="background1"/>
              </w:rPr>
            </w:pPr>
            <w:r w:rsidRPr="002C1C62">
              <w:rPr>
                <w:rFonts w:asciiTheme="majorHAnsi" w:hAnsiTheme="majorHAnsi"/>
                <w:b/>
                <w:color w:val="2F2B20" w:themeColor="background1"/>
              </w:rPr>
              <w:t>Supervisor</w:t>
            </w:r>
          </w:p>
        </w:tc>
        <w:tc>
          <w:tcPr>
            <w:tcW w:w="7938" w:type="dxa"/>
          </w:tcPr>
          <w:p w14:paraId="6F6300F3" w14:textId="2BADA4DB" w:rsidR="006A38DB" w:rsidRPr="002C1C62" w:rsidRDefault="004621E2" w:rsidP="005401CC">
            <w:pPr>
              <w:spacing w:before="80" w:after="80"/>
              <w:rPr>
                <w:rFonts w:asciiTheme="majorHAnsi" w:hAnsiTheme="majorHAnsi"/>
                <w:color w:val="2F2B20" w:themeColor="background1"/>
              </w:rPr>
            </w:pPr>
            <w:r w:rsidRPr="002C1C62">
              <w:rPr>
                <w:rFonts w:asciiTheme="majorHAnsi" w:hAnsiTheme="majorHAnsi"/>
                <w:color w:val="2F2B20" w:themeColor="background1"/>
              </w:rPr>
              <w:t>A supervisor is the person responsible for mentoring the HDR student, for overseeing the research design, and for stewarding the project through the necessary processes.</w:t>
            </w:r>
            <w:r w:rsidR="009A2D94">
              <w:rPr>
                <w:rFonts w:asciiTheme="majorHAnsi" w:hAnsiTheme="majorHAnsi"/>
                <w:color w:val="2F2B20" w:themeColor="background1"/>
              </w:rPr>
              <w:t xml:space="preserve"> </w:t>
            </w:r>
          </w:p>
        </w:tc>
      </w:tr>
      <w:tr w:rsidR="002C1C62" w:rsidRPr="002C1C62" w14:paraId="04DD3781" w14:textId="77777777" w:rsidTr="006A38DB">
        <w:trPr>
          <w:trHeight w:val="425"/>
        </w:trPr>
        <w:tc>
          <w:tcPr>
            <w:tcW w:w="1986" w:type="dxa"/>
          </w:tcPr>
          <w:p w14:paraId="5BA9B7F4" w14:textId="230CE301" w:rsidR="002D6595" w:rsidRPr="002C1C62" w:rsidRDefault="00984ADA" w:rsidP="002B2C32">
            <w:pPr>
              <w:spacing w:before="80" w:after="80"/>
              <w:rPr>
                <w:rFonts w:asciiTheme="majorHAnsi" w:hAnsiTheme="majorHAnsi"/>
                <w:b/>
                <w:color w:val="2F2B20" w:themeColor="background1"/>
              </w:rPr>
            </w:pPr>
            <w:r w:rsidRPr="002C1C62">
              <w:rPr>
                <w:rFonts w:asciiTheme="majorHAnsi" w:hAnsiTheme="majorHAnsi"/>
                <w:b/>
                <w:color w:val="2F2B20" w:themeColor="background1"/>
              </w:rPr>
              <w:t>Co-Supervisor</w:t>
            </w:r>
            <w:r w:rsidR="005401CC">
              <w:rPr>
                <w:rFonts w:asciiTheme="majorHAnsi" w:hAnsiTheme="majorHAnsi"/>
                <w:b/>
                <w:color w:val="2F2B20" w:themeColor="background1"/>
              </w:rPr>
              <w:t xml:space="preserve"> / Collaborative supervision</w:t>
            </w:r>
          </w:p>
        </w:tc>
        <w:tc>
          <w:tcPr>
            <w:tcW w:w="7938" w:type="dxa"/>
          </w:tcPr>
          <w:p w14:paraId="4A1E3B7E" w14:textId="12A37003" w:rsidR="002D6595" w:rsidRPr="002C1C62" w:rsidRDefault="004621E2" w:rsidP="005401CC">
            <w:pPr>
              <w:spacing w:before="80" w:after="80"/>
              <w:rPr>
                <w:rFonts w:asciiTheme="majorHAnsi" w:hAnsiTheme="majorHAnsi"/>
                <w:iCs/>
                <w:color w:val="2F2B20" w:themeColor="background1"/>
              </w:rPr>
            </w:pPr>
            <w:r w:rsidRPr="002C1C62">
              <w:rPr>
                <w:rFonts w:asciiTheme="majorHAnsi" w:hAnsiTheme="majorHAnsi"/>
                <w:color w:val="2F2B20" w:themeColor="background1"/>
              </w:rPr>
              <w:t xml:space="preserve">The co-supervisor works with the supervisor to ensure all supervision roles and responsibilities are fulfilled. The co-supervisor might have responsibility for a specific aspect of the study or bring expertise in a particular area. The co-supervisor might be a novice supervisor who is being mentored by the main supervisor in HDR pedagogy. The co-supervisor might be part of a collective of supervisors. </w:t>
            </w:r>
            <w:r w:rsidR="002C77D9" w:rsidRPr="002C1C62">
              <w:rPr>
                <w:rFonts w:asciiTheme="majorHAnsi" w:hAnsiTheme="majorHAnsi"/>
                <w:color w:val="2F2B20" w:themeColor="background1"/>
              </w:rPr>
              <w:t>Regardless of the reason for the appo</w:t>
            </w:r>
            <w:r w:rsidR="005401CC">
              <w:rPr>
                <w:rFonts w:asciiTheme="majorHAnsi" w:hAnsiTheme="majorHAnsi"/>
                <w:color w:val="2F2B20" w:themeColor="background1"/>
              </w:rPr>
              <w:t>intment of a co-supervisor, all supervisor are</w:t>
            </w:r>
            <w:r w:rsidR="002C77D9" w:rsidRPr="002C1C62">
              <w:rPr>
                <w:rFonts w:asciiTheme="majorHAnsi" w:hAnsiTheme="majorHAnsi"/>
                <w:color w:val="2F2B20" w:themeColor="background1"/>
              </w:rPr>
              <w:t xml:space="preserve"> expected to play an active role in the HDR process</w:t>
            </w:r>
            <w:r w:rsidR="005401CC">
              <w:rPr>
                <w:rFonts w:asciiTheme="majorHAnsi" w:hAnsiTheme="majorHAnsi"/>
                <w:color w:val="2F2B20" w:themeColor="background1"/>
              </w:rPr>
              <w:t xml:space="preserve"> and to work in a collegial manner that recognises the inputs of all</w:t>
            </w:r>
            <w:r w:rsidR="002C77D9" w:rsidRPr="002C1C62">
              <w:rPr>
                <w:rFonts w:asciiTheme="majorHAnsi" w:hAnsiTheme="majorHAnsi"/>
                <w:color w:val="2F2B20" w:themeColor="background1"/>
              </w:rPr>
              <w:t xml:space="preserve">. </w:t>
            </w:r>
            <w:r w:rsidR="005401CC">
              <w:rPr>
                <w:rFonts w:asciiTheme="majorHAnsi" w:hAnsiTheme="majorHAnsi"/>
                <w:color w:val="2F2B20" w:themeColor="background1"/>
              </w:rPr>
              <w:t xml:space="preserve">Co-supervisors may come from different departments or be external to the university. </w:t>
            </w:r>
            <w:r w:rsidRPr="002C1C62">
              <w:rPr>
                <w:rFonts w:asciiTheme="majorHAnsi" w:hAnsiTheme="majorHAnsi"/>
                <w:color w:val="2F2B20" w:themeColor="background1"/>
              </w:rPr>
              <w:t>Where there is more than one supervisor attached to an HDR study, there must be a clear articulation of each person’s roles and responsibilities.</w:t>
            </w:r>
          </w:p>
        </w:tc>
      </w:tr>
      <w:tr w:rsidR="002C1C62" w:rsidRPr="002C1C62" w14:paraId="19DE1CDC" w14:textId="77777777" w:rsidTr="006A38DB">
        <w:trPr>
          <w:trHeight w:val="425"/>
        </w:trPr>
        <w:tc>
          <w:tcPr>
            <w:tcW w:w="1986" w:type="dxa"/>
          </w:tcPr>
          <w:p w14:paraId="1EAFB9C5" w14:textId="7905D84B" w:rsidR="00624CA3" w:rsidRPr="002C1C62" w:rsidRDefault="00624CA3" w:rsidP="002B2C32">
            <w:pPr>
              <w:spacing w:before="80" w:after="80"/>
              <w:rPr>
                <w:rFonts w:asciiTheme="majorHAnsi" w:hAnsiTheme="majorHAnsi"/>
                <w:b/>
                <w:color w:val="2F2B20" w:themeColor="background1"/>
              </w:rPr>
            </w:pPr>
            <w:r w:rsidRPr="002C1C62">
              <w:rPr>
                <w:rFonts w:asciiTheme="majorHAnsi" w:hAnsiTheme="majorHAnsi"/>
                <w:b/>
                <w:color w:val="2F2B20" w:themeColor="background1"/>
              </w:rPr>
              <w:t>One-on-One Supervision</w:t>
            </w:r>
          </w:p>
        </w:tc>
        <w:tc>
          <w:tcPr>
            <w:tcW w:w="7938" w:type="dxa"/>
          </w:tcPr>
          <w:p w14:paraId="567677C8" w14:textId="76252E7B" w:rsidR="00624CA3" w:rsidRPr="002C1C62" w:rsidRDefault="005401CC" w:rsidP="005401CC">
            <w:pPr>
              <w:spacing w:before="80" w:after="80"/>
              <w:rPr>
                <w:rFonts w:asciiTheme="majorHAnsi" w:hAnsiTheme="majorHAnsi"/>
                <w:color w:val="2F2B20" w:themeColor="background1"/>
              </w:rPr>
            </w:pPr>
            <w:r>
              <w:rPr>
                <w:rFonts w:asciiTheme="majorHAnsi" w:hAnsiTheme="majorHAnsi"/>
                <w:color w:val="2F2B20" w:themeColor="background1"/>
              </w:rPr>
              <w:t>In this model, an</w:t>
            </w:r>
            <w:r w:rsidR="00624CA3" w:rsidRPr="002C1C62">
              <w:rPr>
                <w:rFonts w:asciiTheme="majorHAnsi" w:hAnsiTheme="majorHAnsi"/>
                <w:color w:val="2F2B20" w:themeColor="background1"/>
              </w:rPr>
              <w:t xml:space="preserve"> HDR student is allocated a supervisor or a main and co-supervisor and undertakes an individual study on their own research problem. Communication about the research is primarily between the</w:t>
            </w:r>
            <w:r w:rsidR="002C77D9" w:rsidRPr="002C1C62">
              <w:rPr>
                <w:rFonts w:asciiTheme="majorHAnsi" w:hAnsiTheme="majorHAnsi"/>
                <w:color w:val="2F2B20" w:themeColor="background1"/>
              </w:rPr>
              <w:t xml:space="preserve"> student and supervisor/s only </w:t>
            </w:r>
            <w:r w:rsidR="003C4174" w:rsidRPr="002C1C62">
              <w:rPr>
                <w:rFonts w:asciiTheme="majorHAnsi" w:hAnsiTheme="majorHAnsi"/>
                <w:color w:val="2F2B20" w:themeColor="background1"/>
              </w:rPr>
              <w:t>(Grant</w:t>
            </w:r>
            <w:r w:rsidR="00FC5265" w:rsidRPr="002C1C62">
              <w:rPr>
                <w:rFonts w:asciiTheme="majorHAnsi" w:hAnsiTheme="majorHAnsi"/>
                <w:color w:val="2F2B20" w:themeColor="background1"/>
              </w:rPr>
              <w:t xml:space="preserve"> 2008</w:t>
            </w:r>
            <w:r w:rsidR="003C4174" w:rsidRPr="002C1C62">
              <w:rPr>
                <w:rFonts w:asciiTheme="majorHAnsi" w:hAnsiTheme="majorHAnsi"/>
                <w:color w:val="2F2B20" w:themeColor="background1"/>
              </w:rPr>
              <w:t>, Manathunga and Goozee</w:t>
            </w:r>
            <w:r w:rsidR="00DD0256" w:rsidRPr="002C1C62">
              <w:rPr>
                <w:rFonts w:asciiTheme="majorHAnsi" w:hAnsiTheme="majorHAnsi"/>
                <w:color w:val="2F2B20" w:themeColor="background1"/>
              </w:rPr>
              <w:t xml:space="preserve"> 2007</w:t>
            </w:r>
            <w:r w:rsidR="003C4174" w:rsidRPr="002C1C62">
              <w:rPr>
                <w:rFonts w:asciiTheme="majorHAnsi" w:hAnsiTheme="majorHAnsi"/>
                <w:color w:val="2F2B20" w:themeColor="background1"/>
              </w:rPr>
              <w:t>)</w:t>
            </w:r>
          </w:p>
        </w:tc>
      </w:tr>
      <w:tr w:rsidR="002C1C62" w:rsidRPr="002C1C62" w14:paraId="2984994A" w14:textId="77777777" w:rsidTr="006A38DB">
        <w:trPr>
          <w:trHeight w:val="425"/>
        </w:trPr>
        <w:tc>
          <w:tcPr>
            <w:tcW w:w="1986" w:type="dxa"/>
          </w:tcPr>
          <w:p w14:paraId="498DDC25" w14:textId="4CCFD6CC" w:rsidR="006A38DB" w:rsidRPr="002C1C62" w:rsidRDefault="00984ADA" w:rsidP="002B2C32">
            <w:pPr>
              <w:spacing w:before="80" w:after="80"/>
              <w:rPr>
                <w:rFonts w:asciiTheme="majorHAnsi" w:hAnsiTheme="majorHAnsi"/>
                <w:b/>
                <w:color w:val="2F2B20" w:themeColor="background1"/>
              </w:rPr>
            </w:pPr>
            <w:r w:rsidRPr="002C1C62">
              <w:rPr>
                <w:rFonts w:asciiTheme="majorHAnsi" w:hAnsiTheme="majorHAnsi"/>
                <w:b/>
                <w:color w:val="2F2B20" w:themeColor="background1"/>
              </w:rPr>
              <w:t>Project Supervision</w:t>
            </w:r>
          </w:p>
        </w:tc>
        <w:tc>
          <w:tcPr>
            <w:tcW w:w="7938" w:type="dxa"/>
          </w:tcPr>
          <w:p w14:paraId="3695BD1C" w14:textId="2599A6DF" w:rsidR="006A38DB" w:rsidRPr="002C1C62" w:rsidRDefault="005401CC" w:rsidP="005401CC">
            <w:pPr>
              <w:spacing w:before="80" w:after="80"/>
              <w:rPr>
                <w:rFonts w:asciiTheme="majorHAnsi" w:hAnsiTheme="majorHAnsi"/>
                <w:color w:val="2F2B20" w:themeColor="background1"/>
              </w:rPr>
            </w:pPr>
            <w:r>
              <w:rPr>
                <w:rFonts w:asciiTheme="majorHAnsi" w:hAnsiTheme="majorHAnsi"/>
                <w:color w:val="2F2B20" w:themeColor="background1"/>
              </w:rPr>
              <w:t>In this model, a</w:t>
            </w:r>
            <w:r w:rsidR="004621E2" w:rsidRPr="002C1C62">
              <w:rPr>
                <w:rFonts w:asciiTheme="majorHAnsi" w:hAnsiTheme="majorHAnsi"/>
                <w:color w:val="2F2B20" w:themeColor="background1"/>
              </w:rPr>
              <w:t xml:space="preserve"> team of HDR students undertake </w:t>
            </w:r>
            <w:r w:rsidR="00624CA3" w:rsidRPr="002C1C62">
              <w:rPr>
                <w:rFonts w:asciiTheme="majorHAnsi" w:hAnsiTheme="majorHAnsi"/>
                <w:color w:val="2F2B20" w:themeColor="background1"/>
              </w:rPr>
              <w:t xml:space="preserve">research into various </w:t>
            </w:r>
            <w:r w:rsidR="004621E2" w:rsidRPr="002C1C62">
              <w:rPr>
                <w:rFonts w:asciiTheme="majorHAnsi" w:hAnsiTheme="majorHAnsi"/>
                <w:color w:val="2F2B20" w:themeColor="background1"/>
              </w:rPr>
              <w:t>aspects of one project. They might be supervised by one supervisor or by a collective of supervisors. Each person’s role and responsibilities in the project should be clearly articulated and each HDR student needs to understand what their part in the project is. This model is common in the Natural Sciences but is increasingly being used in Humanities and Social Sciences too. Project supervision can include HDR students registered for different levels of qualification. The members of the project team have responsibility to the team as well as to their own project, including preparing for seminars, attending workshops, and providing peer feedback. Project supervision often includes preparatory coursework, even at PhD level where such coursework is not for credit. Specific progress deadlines might be negotiated for the team as a whole.</w:t>
            </w:r>
          </w:p>
        </w:tc>
      </w:tr>
      <w:tr w:rsidR="002C1C62" w:rsidRPr="002C1C62" w14:paraId="59CB8801" w14:textId="77777777" w:rsidTr="006A38DB">
        <w:trPr>
          <w:trHeight w:val="425"/>
        </w:trPr>
        <w:tc>
          <w:tcPr>
            <w:tcW w:w="1986" w:type="dxa"/>
          </w:tcPr>
          <w:p w14:paraId="6B8AF51E" w14:textId="702D6D5F" w:rsidR="00984ADA" w:rsidRPr="002C1C62" w:rsidRDefault="00984ADA" w:rsidP="002B2C32">
            <w:pPr>
              <w:spacing w:before="80" w:after="80"/>
              <w:rPr>
                <w:rFonts w:asciiTheme="majorHAnsi" w:hAnsiTheme="majorHAnsi"/>
                <w:b/>
                <w:color w:val="2F2B20" w:themeColor="background1"/>
              </w:rPr>
            </w:pPr>
            <w:r w:rsidRPr="002C1C62">
              <w:rPr>
                <w:rFonts w:asciiTheme="majorHAnsi" w:hAnsiTheme="majorHAnsi"/>
                <w:b/>
                <w:color w:val="2F2B20" w:themeColor="background1"/>
              </w:rPr>
              <w:t>Programme Supervision</w:t>
            </w:r>
          </w:p>
        </w:tc>
        <w:tc>
          <w:tcPr>
            <w:tcW w:w="7938" w:type="dxa"/>
          </w:tcPr>
          <w:p w14:paraId="4CEA765C" w14:textId="22B59926" w:rsidR="00984ADA" w:rsidRPr="002C1C62" w:rsidRDefault="004621E2" w:rsidP="00072C5E">
            <w:pPr>
              <w:spacing w:before="80" w:after="80"/>
              <w:rPr>
                <w:rFonts w:asciiTheme="majorHAnsi" w:hAnsiTheme="majorHAnsi"/>
                <w:color w:val="2F2B20" w:themeColor="background1"/>
              </w:rPr>
            </w:pPr>
            <w:r w:rsidRPr="002C1C62">
              <w:rPr>
                <w:rFonts w:asciiTheme="majorHAnsi" w:hAnsiTheme="majorHAnsi"/>
                <w:color w:val="2F2B20" w:themeColor="background1"/>
              </w:rPr>
              <w:t xml:space="preserve">Typically programme supervision includes a hybrid with other models such that those in the programme also have a traditional one-on-one supervisor or are part of a project team. Programme supervision provides HDR students with additional support through membership in a departmental or interdepartmental programme which includes </w:t>
            </w:r>
            <w:r w:rsidR="00BB295D" w:rsidRPr="002C1C62">
              <w:rPr>
                <w:rFonts w:asciiTheme="majorHAnsi" w:hAnsiTheme="majorHAnsi"/>
                <w:color w:val="2F2B20" w:themeColor="background1"/>
              </w:rPr>
              <w:t>curriculated support events (such as an online forum, seminar series, ‘Doc Weeks’)</w:t>
            </w:r>
            <w:r w:rsidR="00470432" w:rsidRPr="002C1C62">
              <w:rPr>
                <w:rFonts w:asciiTheme="majorHAnsi" w:hAnsiTheme="majorHAnsi"/>
                <w:color w:val="2F2B20" w:themeColor="background1"/>
              </w:rPr>
              <w:t xml:space="preserve"> (McKenna</w:t>
            </w:r>
            <w:r w:rsidR="00FC5265" w:rsidRPr="002C1C62">
              <w:rPr>
                <w:rFonts w:asciiTheme="majorHAnsi" w:hAnsiTheme="majorHAnsi"/>
                <w:color w:val="2F2B20" w:themeColor="background1"/>
              </w:rPr>
              <w:t xml:space="preserve"> 2014, 2016</w:t>
            </w:r>
            <w:r w:rsidR="00395A9E" w:rsidRPr="002C1C62">
              <w:rPr>
                <w:rFonts w:asciiTheme="majorHAnsi" w:hAnsiTheme="majorHAnsi"/>
                <w:color w:val="2F2B20" w:themeColor="background1"/>
              </w:rPr>
              <w:t>, Lotz-Sisitka et al 2010</w:t>
            </w:r>
            <w:r w:rsidR="00470432" w:rsidRPr="002C1C62">
              <w:rPr>
                <w:rFonts w:asciiTheme="majorHAnsi" w:hAnsiTheme="majorHAnsi"/>
                <w:color w:val="2F2B20" w:themeColor="background1"/>
              </w:rPr>
              <w:t>)</w:t>
            </w:r>
            <w:r w:rsidR="00BB295D" w:rsidRPr="002C1C62">
              <w:rPr>
                <w:rFonts w:asciiTheme="majorHAnsi" w:hAnsiTheme="majorHAnsi"/>
                <w:color w:val="2F2B20" w:themeColor="background1"/>
              </w:rPr>
              <w:t xml:space="preserve">. The programme is intended to nurture collegiality and to prevent a sense of isolation, while fostering a strong research culture. </w:t>
            </w:r>
            <w:r w:rsidR="003C4174" w:rsidRPr="002C1C62">
              <w:rPr>
                <w:rFonts w:asciiTheme="majorHAnsi" w:hAnsiTheme="majorHAnsi"/>
                <w:color w:val="2F2B20" w:themeColor="background1"/>
              </w:rPr>
              <w:t>A version of this model is known as the ‘cohort model’ (Samuel and Vithal</w:t>
            </w:r>
            <w:r w:rsidR="00395A9E" w:rsidRPr="002C1C62">
              <w:rPr>
                <w:rFonts w:asciiTheme="majorHAnsi" w:hAnsiTheme="majorHAnsi"/>
                <w:color w:val="2F2B20" w:themeColor="background1"/>
              </w:rPr>
              <w:t xml:space="preserve"> 2011</w:t>
            </w:r>
            <w:r w:rsidR="003C4174" w:rsidRPr="002C1C62">
              <w:rPr>
                <w:rFonts w:asciiTheme="majorHAnsi" w:hAnsiTheme="majorHAnsi"/>
                <w:color w:val="2F2B20" w:themeColor="background1"/>
              </w:rPr>
              <w:t>).</w:t>
            </w:r>
          </w:p>
        </w:tc>
      </w:tr>
      <w:tr w:rsidR="002C1C62" w:rsidRPr="002C1C62" w14:paraId="13D8E73D" w14:textId="77777777" w:rsidTr="006A38DB">
        <w:trPr>
          <w:trHeight w:val="425"/>
        </w:trPr>
        <w:tc>
          <w:tcPr>
            <w:tcW w:w="1986" w:type="dxa"/>
          </w:tcPr>
          <w:p w14:paraId="2BDD3783" w14:textId="032BCF87" w:rsidR="003C4174" w:rsidRPr="002C1C62" w:rsidRDefault="003C4174" w:rsidP="002B2C32">
            <w:pPr>
              <w:spacing w:before="80" w:after="80"/>
              <w:rPr>
                <w:rFonts w:asciiTheme="majorHAnsi" w:hAnsiTheme="majorHAnsi"/>
                <w:b/>
                <w:color w:val="2F2B20" w:themeColor="background1"/>
              </w:rPr>
            </w:pPr>
            <w:r w:rsidRPr="002C1C62">
              <w:rPr>
                <w:rFonts w:asciiTheme="majorHAnsi" w:hAnsiTheme="majorHAnsi"/>
                <w:b/>
                <w:color w:val="2F2B20" w:themeColor="background1"/>
              </w:rPr>
              <w:t>Panel Supervision</w:t>
            </w:r>
          </w:p>
        </w:tc>
        <w:tc>
          <w:tcPr>
            <w:tcW w:w="7938" w:type="dxa"/>
          </w:tcPr>
          <w:p w14:paraId="60A778FA" w14:textId="46EB9EBE" w:rsidR="003C4174" w:rsidRPr="002C1C62" w:rsidRDefault="003C4174" w:rsidP="00470432">
            <w:pPr>
              <w:spacing w:before="80" w:after="80"/>
              <w:rPr>
                <w:rFonts w:asciiTheme="majorHAnsi" w:hAnsiTheme="majorHAnsi"/>
                <w:color w:val="2F2B20" w:themeColor="background1"/>
              </w:rPr>
            </w:pPr>
            <w:r w:rsidRPr="002C1C62">
              <w:rPr>
                <w:rFonts w:asciiTheme="majorHAnsi" w:hAnsiTheme="majorHAnsi"/>
                <w:color w:val="2F2B20" w:themeColor="background1"/>
              </w:rPr>
              <w:t>The HDR scholar has a panel of three, four or five supervisors, but works most closely with one of the supervisors who is designated the main supervisor. The panel meets three times a year and prepares by reading the most recent work and attending the HDR student’s progress seminar. There are fixed and clearly articulated progress deadlines. This model is sometimes known as the ‘Scandinavian model of supervision’.</w:t>
            </w:r>
          </w:p>
        </w:tc>
      </w:tr>
      <w:tr w:rsidR="002C1C62" w:rsidRPr="002C1C62" w14:paraId="1E25B5A3" w14:textId="77777777" w:rsidTr="006A38DB">
        <w:trPr>
          <w:trHeight w:val="425"/>
        </w:trPr>
        <w:tc>
          <w:tcPr>
            <w:tcW w:w="1986" w:type="dxa"/>
          </w:tcPr>
          <w:p w14:paraId="36E9627A" w14:textId="51E814E5" w:rsidR="00984ADA" w:rsidRPr="002C1C62" w:rsidRDefault="002B2C32" w:rsidP="002B2C32">
            <w:pPr>
              <w:spacing w:before="80" w:after="80"/>
              <w:rPr>
                <w:rFonts w:asciiTheme="majorHAnsi" w:hAnsiTheme="majorHAnsi"/>
                <w:b/>
                <w:color w:val="2F2B20" w:themeColor="background1"/>
              </w:rPr>
            </w:pPr>
            <w:r w:rsidRPr="002C1C62">
              <w:rPr>
                <w:rFonts w:asciiTheme="majorHAnsi" w:hAnsiTheme="majorHAnsi"/>
                <w:b/>
                <w:color w:val="2F2B20" w:themeColor="background1"/>
              </w:rPr>
              <w:t>CPGS</w:t>
            </w:r>
          </w:p>
        </w:tc>
        <w:tc>
          <w:tcPr>
            <w:tcW w:w="7938" w:type="dxa"/>
          </w:tcPr>
          <w:p w14:paraId="3273C3A7" w14:textId="5835BCE8" w:rsidR="00984ADA" w:rsidRPr="002C1C62" w:rsidRDefault="00BB295D" w:rsidP="002B2C32">
            <w:pPr>
              <w:spacing w:before="80" w:after="80"/>
              <w:rPr>
                <w:rFonts w:asciiTheme="majorHAnsi" w:hAnsiTheme="majorHAnsi"/>
                <w:color w:val="2F2B20" w:themeColor="background1"/>
              </w:rPr>
            </w:pPr>
            <w:r w:rsidRPr="002C1C62">
              <w:rPr>
                <w:rFonts w:asciiTheme="majorHAnsi" w:hAnsiTheme="majorHAnsi"/>
                <w:color w:val="2F2B20" w:themeColor="background1"/>
              </w:rPr>
              <w:t xml:space="preserve">The Centre for Postgraduate Studies offers a number of initiatives and events to support </w:t>
            </w:r>
            <w:r w:rsidR="00470432" w:rsidRPr="002C1C62">
              <w:rPr>
                <w:rFonts w:asciiTheme="majorHAnsi" w:hAnsiTheme="majorHAnsi"/>
                <w:color w:val="2F2B20" w:themeColor="background1"/>
              </w:rPr>
              <w:t xml:space="preserve">HDR </w:t>
            </w:r>
            <w:r w:rsidRPr="002C1C62">
              <w:rPr>
                <w:rFonts w:asciiTheme="majorHAnsi" w:hAnsiTheme="majorHAnsi"/>
                <w:color w:val="2F2B20" w:themeColor="background1"/>
              </w:rPr>
              <w:t xml:space="preserve">supervisors, HDR students and to foster a strong research culture on campus. </w:t>
            </w:r>
          </w:p>
        </w:tc>
      </w:tr>
      <w:tr w:rsidR="002C1C62" w:rsidRPr="002C1C62" w14:paraId="327EE309" w14:textId="77777777" w:rsidTr="006A38DB">
        <w:trPr>
          <w:trHeight w:val="425"/>
        </w:trPr>
        <w:tc>
          <w:tcPr>
            <w:tcW w:w="1986" w:type="dxa"/>
          </w:tcPr>
          <w:p w14:paraId="76711BFE" w14:textId="48D8A384" w:rsidR="002B6D64" w:rsidRPr="002C1C62" w:rsidRDefault="002B6D64" w:rsidP="002B2C32">
            <w:pPr>
              <w:spacing w:before="80" w:after="80"/>
              <w:rPr>
                <w:rFonts w:asciiTheme="majorHAnsi" w:hAnsiTheme="majorHAnsi"/>
                <w:b/>
                <w:color w:val="2F2B20" w:themeColor="background1"/>
              </w:rPr>
            </w:pPr>
            <w:r w:rsidRPr="002C1C62">
              <w:rPr>
                <w:rFonts w:asciiTheme="majorHAnsi" w:hAnsiTheme="majorHAnsi"/>
                <w:b/>
                <w:color w:val="2F2B20" w:themeColor="background1"/>
              </w:rPr>
              <w:t>HEQSF</w:t>
            </w:r>
          </w:p>
        </w:tc>
        <w:tc>
          <w:tcPr>
            <w:tcW w:w="7938" w:type="dxa"/>
          </w:tcPr>
          <w:p w14:paraId="6C4BC985" w14:textId="37CED9D7" w:rsidR="002B6D64" w:rsidRPr="002C1C62" w:rsidRDefault="00BB295D" w:rsidP="00BB295D">
            <w:pPr>
              <w:spacing w:before="80" w:after="80"/>
              <w:rPr>
                <w:rFonts w:asciiTheme="majorHAnsi" w:hAnsiTheme="majorHAnsi"/>
                <w:color w:val="2F2B20" w:themeColor="background1"/>
              </w:rPr>
            </w:pPr>
            <w:r w:rsidRPr="002C1C62">
              <w:rPr>
                <w:rFonts w:asciiTheme="majorHAnsi" w:hAnsiTheme="majorHAnsi"/>
                <w:color w:val="2F2B20" w:themeColor="background1"/>
              </w:rPr>
              <w:t>The Higher Education Qualifications Sub-Framework (DHET 2012) s</w:t>
            </w:r>
            <w:r w:rsidR="002B6D64" w:rsidRPr="002C1C62">
              <w:rPr>
                <w:rFonts w:asciiTheme="majorHAnsi" w:hAnsiTheme="majorHAnsi"/>
                <w:color w:val="2F2B20" w:themeColor="background1"/>
              </w:rPr>
              <w:t xml:space="preserve">pecifies </w:t>
            </w:r>
            <w:r w:rsidRPr="002C1C62">
              <w:rPr>
                <w:rFonts w:asciiTheme="majorHAnsi" w:hAnsiTheme="majorHAnsi"/>
                <w:color w:val="2F2B20" w:themeColor="background1"/>
              </w:rPr>
              <w:t xml:space="preserve">the </w:t>
            </w:r>
            <w:r w:rsidR="002B6D64" w:rsidRPr="002C1C62">
              <w:rPr>
                <w:rFonts w:asciiTheme="majorHAnsi" w:hAnsiTheme="majorHAnsi"/>
                <w:color w:val="2F2B20" w:themeColor="background1"/>
              </w:rPr>
              <w:t xml:space="preserve">definition of each </w:t>
            </w:r>
            <w:r w:rsidRPr="002C1C62">
              <w:rPr>
                <w:rFonts w:asciiTheme="majorHAnsi" w:hAnsiTheme="majorHAnsi"/>
                <w:color w:val="2F2B20" w:themeColor="background1"/>
              </w:rPr>
              <w:t>postgraduate</w:t>
            </w:r>
            <w:r w:rsidR="002B6D64" w:rsidRPr="002C1C62">
              <w:rPr>
                <w:rFonts w:asciiTheme="majorHAnsi" w:hAnsiTheme="majorHAnsi"/>
                <w:color w:val="2F2B20" w:themeColor="background1"/>
              </w:rPr>
              <w:t xml:space="preserve"> qualification and its aims and outcomes, and </w:t>
            </w:r>
            <w:r w:rsidRPr="002C1C62">
              <w:rPr>
                <w:rFonts w:asciiTheme="majorHAnsi" w:hAnsiTheme="majorHAnsi"/>
                <w:color w:val="2F2B20" w:themeColor="background1"/>
              </w:rPr>
              <w:t xml:space="preserve">it </w:t>
            </w:r>
            <w:r w:rsidR="002B6D64" w:rsidRPr="002C1C62">
              <w:rPr>
                <w:rFonts w:asciiTheme="majorHAnsi" w:hAnsiTheme="majorHAnsi"/>
                <w:color w:val="2F2B20" w:themeColor="background1"/>
              </w:rPr>
              <w:t xml:space="preserve">specifies </w:t>
            </w:r>
            <w:r w:rsidRPr="002C1C62">
              <w:rPr>
                <w:rFonts w:asciiTheme="majorHAnsi" w:hAnsiTheme="majorHAnsi"/>
                <w:color w:val="2F2B20" w:themeColor="background1"/>
              </w:rPr>
              <w:t xml:space="preserve">the </w:t>
            </w:r>
            <w:r w:rsidR="002B6D64" w:rsidRPr="002C1C62">
              <w:rPr>
                <w:rFonts w:asciiTheme="majorHAnsi" w:hAnsiTheme="majorHAnsi"/>
                <w:color w:val="2F2B20" w:themeColor="background1"/>
              </w:rPr>
              <w:t xml:space="preserve">credits and thereby the notional hours candidates are expected to dedicate to each </w:t>
            </w:r>
            <w:r w:rsidRPr="002C1C62">
              <w:rPr>
                <w:rFonts w:asciiTheme="majorHAnsi" w:hAnsiTheme="majorHAnsi"/>
                <w:color w:val="2F2B20" w:themeColor="background1"/>
              </w:rPr>
              <w:t>postgraduate</w:t>
            </w:r>
            <w:r w:rsidR="002B6D64" w:rsidRPr="002C1C62">
              <w:rPr>
                <w:rFonts w:asciiTheme="majorHAnsi" w:hAnsiTheme="majorHAnsi"/>
                <w:color w:val="2F2B20" w:themeColor="background1"/>
              </w:rPr>
              <w:t xml:space="preserve"> qualification</w:t>
            </w:r>
            <w:r w:rsidRPr="002C1C62">
              <w:rPr>
                <w:rFonts w:asciiTheme="majorHAnsi" w:hAnsiTheme="majorHAnsi"/>
                <w:color w:val="2F2B20" w:themeColor="background1"/>
              </w:rPr>
              <w:t>.</w:t>
            </w:r>
          </w:p>
        </w:tc>
      </w:tr>
    </w:tbl>
    <w:p w14:paraId="645C31A2" w14:textId="77777777" w:rsidR="00000D65" w:rsidRPr="002C1C62" w:rsidRDefault="00000D65" w:rsidP="002B2C32">
      <w:pPr>
        <w:spacing w:before="80" w:after="80"/>
        <w:rPr>
          <w:rFonts w:asciiTheme="majorHAnsi" w:hAnsiTheme="majorHAnsi"/>
          <w:color w:val="2F2B20" w:themeColor="background1"/>
        </w:rPr>
      </w:pPr>
    </w:p>
    <w:p w14:paraId="3FE9049E" w14:textId="77777777" w:rsidR="00D8231D" w:rsidRPr="002C1C62" w:rsidRDefault="001D5D81" w:rsidP="002B2C32">
      <w:pPr>
        <w:spacing w:before="80" w:after="80"/>
        <w:rPr>
          <w:rFonts w:asciiTheme="majorHAnsi" w:hAnsiTheme="majorHAnsi"/>
          <w:b/>
          <w:color w:val="2F2B20" w:themeColor="background1"/>
        </w:rPr>
      </w:pPr>
      <w:r w:rsidRPr="002C1C62">
        <w:rPr>
          <w:rFonts w:asciiTheme="majorHAnsi" w:hAnsiTheme="majorHAnsi"/>
          <w:b/>
          <w:color w:val="2F2B20" w:themeColor="background1"/>
          <w:lang w:val="en-GB"/>
        </w:rPr>
        <w:t>PR</w:t>
      </w:r>
      <w:r w:rsidR="00EE4668" w:rsidRPr="002C1C62">
        <w:rPr>
          <w:rFonts w:asciiTheme="majorHAnsi" w:hAnsiTheme="majorHAnsi"/>
          <w:b/>
          <w:color w:val="2F2B20" w:themeColor="background1"/>
          <w:lang w:val="en-GB"/>
        </w:rPr>
        <w:t>INCIPLES GOVERNING THIS POLICY</w:t>
      </w:r>
    </w:p>
    <w:tbl>
      <w:tblPr>
        <w:tblStyle w:val="TableGrid"/>
        <w:tblW w:w="9924" w:type="dxa"/>
        <w:tblInd w:w="-318" w:type="dxa"/>
        <w:tblLook w:val="04A0" w:firstRow="1" w:lastRow="0" w:firstColumn="1" w:lastColumn="0" w:noHBand="0" w:noVBand="1"/>
      </w:tblPr>
      <w:tblGrid>
        <w:gridCol w:w="9924"/>
      </w:tblGrid>
      <w:tr w:rsidR="002C1C62" w:rsidRPr="002C1C62" w14:paraId="176C6C64" w14:textId="77777777" w:rsidTr="00000D65">
        <w:tc>
          <w:tcPr>
            <w:tcW w:w="9924" w:type="dxa"/>
          </w:tcPr>
          <w:p w14:paraId="69630966" w14:textId="77777777" w:rsidR="00D8231D" w:rsidRPr="002C1C62" w:rsidRDefault="00D8231D" w:rsidP="002B2C32">
            <w:pPr>
              <w:spacing w:before="80" w:after="80"/>
              <w:rPr>
                <w:rFonts w:asciiTheme="majorHAnsi" w:hAnsiTheme="majorHAnsi"/>
                <w:b/>
                <w:color w:val="2F2B20" w:themeColor="background1"/>
              </w:rPr>
            </w:pPr>
            <w:r w:rsidRPr="002C1C62">
              <w:rPr>
                <w:rFonts w:asciiTheme="majorHAnsi" w:hAnsiTheme="majorHAnsi"/>
                <w:b/>
                <w:color w:val="2F2B20" w:themeColor="background1"/>
              </w:rPr>
              <w:t>OVERVIEW</w:t>
            </w:r>
          </w:p>
        </w:tc>
      </w:tr>
      <w:tr w:rsidR="002C1C62" w:rsidRPr="002C1C62" w14:paraId="1802021E" w14:textId="77777777" w:rsidTr="00000D65">
        <w:tc>
          <w:tcPr>
            <w:tcW w:w="9924" w:type="dxa"/>
          </w:tcPr>
          <w:p w14:paraId="3587061B" w14:textId="77777777" w:rsidR="00D8231D" w:rsidRPr="002C1C62" w:rsidRDefault="00D8231D" w:rsidP="002B2C32">
            <w:pPr>
              <w:spacing w:before="80" w:after="80"/>
              <w:rPr>
                <w:rFonts w:asciiTheme="majorHAnsi" w:hAnsiTheme="majorHAnsi"/>
                <w:color w:val="2F2B20" w:themeColor="background1"/>
                <w:highlight w:val="yellow"/>
              </w:rPr>
            </w:pPr>
            <w:r w:rsidRPr="002C1C62">
              <w:rPr>
                <w:rFonts w:asciiTheme="majorHAnsi" w:hAnsiTheme="majorHAnsi"/>
                <w:color w:val="2F2B20" w:themeColor="background1"/>
              </w:rPr>
              <w:t xml:space="preserve">Rhodes University strives to carry out the following, as far </w:t>
            </w:r>
            <w:r w:rsidR="00250160" w:rsidRPr="002C1C62">
              <w:rPr>
                <w:rFonts w:asciiTheme="majorHAnsi" w:hAnsiTheme="majorHAnsi"/>
                <w:color w:val="2F2B20" w:themeColor="background1"/>
              </w:rPr>
              <w:t>as is reasonably practicable</w:t>
            </w:r>
            <w:r w:rsidRPr="002C1C62">
              <w:rPr>
                <w:rFonts w:asciiTheme="majorHAnsi" w:hAnsiTheme="majorHAnsi"/>
                <w:color w:val="2F2B20" w:themeColor="background1"/>
              </w:rPr>
              <w:t>:</w:t>
            </w:r>
          </w:p>
        </w:tc>
      </w:tr>
      <w:tr w:rsidR="002C1C62" w:rsidRPr="002C1C62" w14:paraId="2A2A0E1D" w14:textId="77777777" w:rsidTr="00000D65">
        <w:tc>
          <w:tcPr>
            <w:tcW w:w="9924" w:type="dxa"/>
          </w:tcPr>
          <w:p w14:paraId="751E6588" w14:textId="5D5481D5" w:rsidR="00090233" w:rsidRPr="002C1C62" w:rsidRDefault="00090233" w:rsidP="00A97A6E">
            <w:pPr>
              <w:pStyle w:val="ListParagraph"/>
              <w:widowControl w:val="0"/>
              <w:numPr>
                <w:ilvl w:val="0"/>
                <w:numId w:val="4"/>
              </w:numPr>
              <w:autoSpaceDE w:val="0"/>
              <w:autoSpaceDN w:val="0"/>
              <w:adjustRightInd w:val="0"/>
              <w:spacing w:before="80" w:after="80"/>
              <w:rPr>
                <w:rFonts w:asciiTheme="majorHAnsi" w:hAnsiTheme="majorHAnsi"/>
                <w:color w:val="2F2B20" w:themeColor="background1"/>
              </w:rPr>
            </w:pPr>
            <w:r w:rsidRPr="002C1C62">
              <w:rPr>
                <w:rFonts w:asciiTheme="majorHAnsi" w:hAnsiTheme="majorHAnsi"/>
                <w:color w:val="2F2B20" w:themeColor="background1"/>
              </w:rPr>
              <w:t>The roles played by supervisor</w:t>
            </w:r>
            <w:r w:rsidR="00A97A6E" w:rsidRPr="002C1C62">
              <w:rPr>
                <w:rFonts w:asciiTheme="majorHAnsi" w:hAnsiTheme="majorHAnsi"/>
                <w:color w:val="2F2B20" w:themeColor="background1"/>
              </w:rPr>
              <w:t>/s</w:t>
            </w:r>
            <w:r w:rsidRPr="002C1C62">
              <w:rPr>
                <w:rFonts w:asciiTheme="majorHAnsi" w:hAnsiTheme="majorHAnsi"/>
                <w:color w:val="2F2B20" w:themeColor="background1"/>
              </w:rPr>
              <w:t xml:space="preserve"> and student should be articulated as clearly as possible and should preferably be arrived at through a process of mutual consensus. Agreement as to the supervisory process should be documented so that a clear record of responsibilities is created.</w:t>
            </w:r>
            <w:r w:rsidR="00076DE9" w:rsidRPr="002C1C62">
              <w:rPr>
                <w:rFonts w:asciiTheme="majorHAnsi" w:hAnsiTheme="majorHAnsi"/>
                <w:color w:val="2F2B20" w:themeColor="background1"/>
              </w:rPr>
              <w:t xml:space="preserve"> (See roles below).</w:t>
            </w:r>
          </w:p>
        </w:tc>
      </w:tr>
      <w:tr w:rsidR="002C1C62" w:rsidRPr="002C1C62" w14:paraId="5122D432" w14:textId="77777777" w:rsidTr="00000D65">
        <w:tc>
          <w:tcPr>
            <w:tcW w:w="9924" w:type="dxa"/>
          </w:tcPr>
          <w:p w14:paraId="00D0463A" w14:textId="65C55F94" w:rsidR="006206D4" w:rsidRPr="002C1C62" w:rsidRDefault="006206D4" w:rsidP="00A97A6E">
            <w:pPr>
              <w:pStyle w:val="ListParagraph"/>
              <w:widowControl w:val="0"/>
              <w:numPr>
                <w:ilvl w:val="0"/>
                <w:numId w:val="4"/>
              </w:numPr>
              <w:autoSpaceDE w:val="0"/>
              <w:autoSpaceDN w:val="0"/>
              <w:adjustRightInd w:val="0"/>
              <w:spacing w:before="80" w:after="80"/>
              <w:rPr>
                <w:rFonts w:asciiTheme="majorHAnsi" w:hAnsiTheme="majorHAnsi"/>
                <w:color w:val="2F2B20" w:themeColor="background1"/>
              </w:rPr>
            </w:pPr>
            <w:r w:rsidRPr="002C1C62">
              <w:rPr>
                <w:rFonts w:asciiTheme="majorHAnsi" w:hAnsiTheme="majorHAnsi"/>
                <w:color w:val="2F2B20" w:themeColor="background1"/>
              </w:rPr>
              <w:t>Supervisors need to be committed to the HDR scholars that they supervise and to their projects. This includes taking responsibility for guiding the scholar and providing such support as may be necessary and reasonable.</w:t>
            </w:r>
          </w:p>
        </w:tc>
      </w:tr>
      <w:tr w:rsidR="002C1C62" w:rsidRPr="002C1C62" w14:paraId="5274BDCB" w14:textId="77777777" w:rsidTr="00000D65">
        <w:tc>
          <w:tcPr>
            <w:tcW w:w="9924" w:type="dxa"/>
          </w:tcPr>
          <w:p w14:paraId="2017F73E" w14:textId="2A7C2466" w:rsidR="00D8231D" w:rsidRPr="002C1C62" w:rsidRDefault="00090233" w:rsidP="008C5230">
            <w:pPr>
              <w:pStyle w:val="ListParagraph"/>
              <w:numPr>
                <w:ilvl w:val="0"/>
                <w:numId w:val="4"/>
              </w:numPr>
              <w:spacing w:before="80" w:after="80"/>
              <w:rPr>
                <w:rFonts w:asciiTheme="majorHAnsi" w:hAnsiTheme="majorHAnsi"/>
                <w:color w:val="2F2B20" w:themeColor="background1"/>
              </w:rPr>
            </w:pPr>
            <w:r w:rsidRPr="002C1C62">
              <w:rPr>
                <w:rFonts w:asciiTheme="majorHAnsi" w:hAnsiTheme="majorHAnsi"/>
                <w:color w:val="2F2B20" w:themeColor="background1"/>
              </w:rPr>
              <w:t>The university acknowledges that the Higher Degree by Rese</w:t>
            </w:r>
            <w:r w:rsidR="00470432" w:rsidRPr="002C1C62">
              <w:rPr>
                <w:rFonts w:asciiTheme="majorHAnsi" w:hAnsiTheme="majorHAnsi"/>
                <w:color w:val="2F2B20" w:themeColor="background1"/>
              </w:rPr>
              <w:t xml:space="preserve">arch is examined primarily in </w:t>
            </w:r>
            <w:r w:rsidRPr="002C1C62">
              <w:rPr>
                <w:rFonts w:asciiTheme="majorHAnsi" w:hAnsiTheme="majorHAnsi"/>
                <w:color w:val="2F2B20" w:themeColor="background1"/>
              </w:rPr>
              <w:t xml:space="preserve">written form and the supervision of academic writing </w:t>
            </w:r>
            <w:r w:rsidR="008C5230">
              <w:rPr>
                <w:rFonts w:asciiTheme="majorHAnsi" w:hAnsiTheme="majorHAnsi"/>
                <w:color w:val="2F2B20" w:themeColor="background1"/>
              </w:rPr>
              <w:t xml:space="preserve">(whether it be discipline specific, inter-disciplinary or transdisciplinary) </w:t>
            </w:r>
            <w:r w:rsidRPr="002C1C62">
              <w:rPr>
                <w:rFonts w:asciiTheme="majorHAnsi" w:hAnsiTheme="majorHAnsi"/>
                <w:color w:val="2F2B20" w:themeColor="background1"/>
              </w:rPr>
              <w:t xml:space="preserve">is thus an important responsibility. While various initiatives may be put in place to support the acquisition of the relevant writing practices, it is largely through formative feedback on student writing </w:t>
            </w:r>
            <w:r w:rsidR="00076DE9" w:rsidRPr="002C1C62">
              <w:rPr>
                <w:rFonts w:asciiTheme="majorHAnsi" w:hAnsiTheme="majorHAnsi"/>
                <w:color w:val="2F2B20" w:themeColor="background1"/>
              </w:rPr>
              <w:t xml:space="preserve">by the discipline expert </w:t>
            </w:r>
            <w:r w:rsidRPr="002C1C62">
              <w:rPr>
                <w:rFonts w:asciiTheme="majorHAnsi" w:hAnsiTheme="majorHAnsi"/>
                <w:color w:val="2F2B20" w:themeColor="background1"/>
              </w:rPr>
              <w:t>that such practices are developed.</w:t>
            </w:r>
          </w:p>
        </w:tc>
      </w:tr>
      <w:tr w:rsidR="002C1C62" w:rsidRPr="002C1C62" w14:paraId="68C085B5" w14:textId="77777777" w:rsidTr="00000D65">
        <w:tc>
          <w:tcPr>
            <w:tcW w:w="9924" w:type="dxa"/>
          </w:tcPr>
          <w:p w14:paraId="6C753D60" w14:textId="350BAB7E" w:rsidR="00553A65" w:rsidRPr="002C1C62" w:rsidRDefault="00090233" w:rsidP="00076DE9">
            <w:pPr>
              <w:pStyle w:val="ListParagraph"/>
              <w:numPr>
                <w:ilvl w:val="0"/>
                <w:numId w:val="4"/>
              </w:numPr>
              <w:spacing w:before="80" w:after="80"/>
              <w:rPr>
                <w:rFonts w:asciiTheme="majorHAnsi" w:hAnsiTheme="majorHAnsi"/>
                <w:color w:val="2F2B20" w:themeColor="background1"/>
              </w:rPr>
            </w:pPr>
            <w:r w:rsidRPr="002C1C62">
              <w:rPr>
                <w:rFonts w:asciiTheme="majorHAnsi" w:hAnsiTheme="majorHAnsi"/>
                <w:color w:val="2F2B20" w:themeColor="background1"/>
              </w:rPr>
              <w:t xml:space="preserve">The model of supervision is dependent on a number of variables including disciplinary norms and the requirements of the specific research project. There </w:t>
            </w:r>
            <w:r w:rsidR="00A97A6E" w:rsidRPr="002C1C62">
              <w:rPr>
                <w:rFonts w:asciiTheme="majorHAnsi" w:hAnsiTheme="majorHAnsi"/>
                <w:color w:val="2F2B20" w:themeColor="background1"/>
              </w:rPr>
              <w:t>is therefore no</w:t>
            </w:r>
            <w:r w:rsidRPr="002C1C62">
              <w:rPr>
                <w:rFonts w:asciiTheme="majorHAnsi" w:hAnsiTheme="majorHAnsi"/>
                <w:color w:val="2F2B20" w:themeColor="background1"/>
              </w:rPr>
              <w:t xml:space="preserve"> requirement that a particular </w:t>
            </w:r>
            <w:r w:rsidR="00076DE9" w:rsidRPr="002C1C62">
              <w:rPr>
                <w:rFonts w:asciiTheme="majorHAnsi" w:hAnsiTheme="majorHAnsi"/>
                <w:color w:val="2F2B20" w:themeColor="background1"/>
              </w:rPr>
              <w:t>model</w:t>
            </w:r>
            <w:r w:rsidRPr="002C1C62">
              <w:rPr>
                <w:rFonts w:asciiTheme="majorHAnsi" w:hAnsiTheme="majorHAnsi"/>
                <w:color w:val="2F2B20" w:themeColor="background1"/>
              </w:rPr>
              <w:t xml:space="preserve"> be used. However, the university notes concerns about the </w:t>
            </w:r>
            <w:r w:rsidR="00553A65" w:rsidRPr="002C1C62">
              <w:rPr>
                <w:rFonts w:asciiTheme="majorHAnsi" w:hAnsiTheme="majorHAnsi"/>
                <w:color w:val="2F2B20" w:themeColor="background1"/>
              </w:rPr>
              <w:t xml:space="preserve">dominance of </w:t>
            </w:r>
            <w:r w:rsidRPr="002C1C62">
              <w:rPr>
                <w:rFonts w:asciiTheme="majorHAnsi" w:hAnsiTheme="majorHAnsi"/>
                <w:color w:val="2F2B20" w:themeColor="background1"/>
              </w:rPr>
              <w:t xml:space="preserve">the individual one-on-one </w:t>
            </w:r>
            <w:r w:rsidR="00553A65" w:rsidRPr="002C1C62">
              <w:rPr>
                <w:rFonts w:asciiTheme="majorHAnsi" w:hAnsiTheme="majorHAnsi"/>
                <w:color w:val="2F2B20" w:themeColor="background1"/>
              </w:rPr>
              <w:t>model</w:t>
            </w:r>
            <w:r w:rsidRPr="002C1C62">
              <w:rPr>
                <w:rFonts w:asciiTheme="majorHAnsi" w:hAnsiTheme="majorHAnsi"/>
                <w:color w:val="2F2B20" w:themeColor="background1"/>
              </w:rPr>
              <w:t xml:space="preserve"> of supervision</w:t>
            </w:r>
            <w:r w:rsidR="00A97A6E" w:rsidRPr="002C1C62">
              <w:rPr>
                <w:rFonts w:asciiTheme="majorHAnsi" w:hAnsiTheme="majorHAnsi"/>
                <w:color w:val="2F2B20" w:themeColor="background1"/>
              </w:rPr>
              <w:t>, which</w:t>
            </w:r>
            <w:r w:rsidRPr="002C1C62">
              <w:rPr>
                <w:rFonts w:asciiTheme="majorHAnsi" w:hAnsiTheme="majorHAnsi"/>
                <w:color w:val="2F2B20" w:themeColor="background1"/>
              </w:rPr>
              <w:t xml:space="preserve"> has been found to be associated with poor retention and throughput (ASSAf 2010, Cloete, Mouton and Sheppard 2015) and to exacerbate power imbalances and isolation where these </w:t>
            </w:r>
            <w:r w:rsidR="00A97A6E" w:rsidRPr="002C1C62">
              <w:rPr>
                <w:rFonts w:asciiTheme="majorHAnsi" w:hAnsiTheme="majorHAnsi"/>
                <w:color w:val="2F2B20" w:themeColor="background1"/>
              </w:rPr>
              <w:t xml:space="preserve">problems </w:t>
            </w:r>
            <w:r w:rsidRPr="002C1C62">
              <w:rPr>
                <w:rFonts w:asciiTheme="majorHAnsi" w:hAnsiTheme="majorHAnsi"/>
                <w:color w:val="2F2B20" w:themeColor="background1"/>
              </w:rPr>
              <w:t>are evident (Backhouse</w:t>
            </w:r>
            <w:r w:rsidR="00395A9E" w:rsidRPr="002C1C62">
              <w:rPr>
                <w:rFonts w:asciiTheme="majorHAnsi" w:hAnsiTheme="majorHAnsi"/>
                <w:color w:val="2F2B20" w:themeColor="background1"/>
              </w:rPr>
              <w:t xml:space="preserve"> 2010</w:t>
            </w:r>
            <w:r w:rsidRPr="002C1C62">
              <w:rPr>
                <w:rFonts w:asciiTheme="majorHAnsi" w:hAnsiTheme="majorHAnsi"/>
                <w:color w:val="2F2B20" w:themeColor="background1"/>
              </w:rPr>
              <w:t>, Harrison</w:t>
            </w:r>
            <w:r w:rsidR="00395A9E" w:rsidRPr="002C1C62">
              <w:rPr>
                <w:rFonts w:asciiTheme="majorHAnsi" w:hAnsiTheme="majorHAnsi"/>
                <w:color w:val="2F2B20" w:themeColor="background1"/>
              </w:rPr>
              <w:t xml:space="preserve"> 2012</w:t>
            </w:r>
            <w:r w:rsidRPr="002C1C62">
              <w:rPr>
                <w:rFonts w:asciiTheme="majorHAnsi" w:hAnsiTheme="majorHAnsi"/>
                <w:color w:val="2F2B20" w:themeColor="background1"/>
              </w:rPr>
              <w:t xml:space="preserve">). In </w:t>
            </w:r>
            <w:r w:rsidR="00553A65" w:rsidRPr="002C1C62">
              <w:rPr>
                <w:rFonts w:asciiTheme="majorHAnsi" w:hAnsiTheme="majorHAnsi"/>
                <w:color w:val="2F2B20" w:themeColor="background1"/>
              </w:rPr>
              <w:t xml:space="preserve">cases where </w:t>
            </w:r>
            <w:r w:rsidRPr="002C1C62">
              <w:rPr>
                <w:rFonts w:asciiTheme="majorHAnsi" w:hAnsiTheme="majorHAnsi"/>
                <w:color w:val="2F2B20" w:themeColor="background1"/>
              </w:rPr>
              <w:t>this model is deemed to be the most appropriate</w:t>
            </w:r>
            <w:r w:rsidR="00553A65" w:rsidRPr="002C1C62">
              <w:rPr>
                <w:rFonts w:asciiTheme="majorHAnsi" w:hAnsiTheme="majorHAnsi"/>
                <w:color w:val="2F2B20" w:themeColor="background1"/>
              </w:rPr>
              <w:t xml:space="preserve">, </w:t>
            </w:r>
            <w:r w:rsidRPr="002C1C62">
              <w:rPr>
                <w:rFonts w:asciiTheme="majorHAnsi" w:hAnsiTheme="majorHAnsi"/>
                <w:color w:val="2F2B20" w:themeColor="background1"/>
              </w:rPr>
              <w:t xml:space="preserve">the university endeavours </w:t>
            </w:r>
            <w:r w:rsidR="00553A65" w:rsidRPr="002C1C62">
              <w:rPr>
                <w:rFonts w:asciiTheme="majorHAnsi" w:hAnsiTheme="majorHAnsi"/>
                <w:color w:val="2F2B20" w:themeColor="background1"/>
              </w:rPr>
              <w:t xml:space="preserve">to ensure that the candidate has access to a community of scholars and </w:t>
            </w:r>
            <w:r w:rsidRPr="002C1C62">
              <w:rPr>
                <w:rFonts w:asciiTheme="majorHAnsi" w:hAnsiTheme="majorHAnsi"/>
                <w:color w:val="2F2B20" w:themeColor="background1"/>
              </w:rPr>
              <w:t xml:space="preserve">to </w:t>
            </w:r>
            <w:r w:rsidR="00553A65" w:rsidRPr="002C1C62">
              <w:rPr>
                <w:rFonts w:asciiTheme="majorHAnsi" w:hAnsiTheme="majorHAnsi"/>
                <w:color w:val="2F2B20" w:themeColor="background1"/>
              </w:rPr>
              <w:t xml:space="preserve">a number of support initiatives beyond those provided by </w:t>
            </w:r>
            <w:r w:rsidR="00076DE9" w:rsidRPr="002C1C62">
              <w:rPr>
                <w:rFonts w:asciiTheme="majorHAnsi" w:hAnsiTheme="majorHAnsi"/>
                <w:color w:val="2F2B20" w:themeColor="background1"/>
              </w:rPr>
              <w:t xml:space="preserve">the </w:t>
            </w:r>
            <w:r w:rsidR="00553A65" w:rsidRPr="002C1C62">
              <w:rPr>
                <w:rFonts w:asciiTheme="majorHAnsi" w:hAnsiTheme="majorHAnsi"/>
                <w:color w:val="2F2B20" w:themeColor="background1"/>
              </w:rPr>
              <w:t xml:space="preserve">supervisor, and </w:t>
            </w:r>
            <w:r w:rsidRPr="002C1C62">
              <w:rPr>
                <w:rFonts w:asciiTheme="majorHAnsi" w:hAnsiTheme="majorHAnsi"/>
                <w:color w:val="2F2B20" w:themeColor="background1"/>
              </w:rPr>
              <w:t xml:space="preserve">that </w:t>
            </w:r>
            <w:r w:rsidR="00553A65" w:rsidRPr="002C1C62">
              <w:rPr>
                <w:rFonts w:asciiTheme="majorHAnsi" w:hAnsiTheme="majorHAnsi"/>
                <w:color w:val="2F2B20" w:themeColor="background1"/>
              </w:rPr>
              <w:t xml:space="preserve">the supervisor </w:t>
            </w:r>
            <w:r w:rsidRPr="002C1C62">
              <w:rPr>
                <w:rFonts w:asciiTheme="majorHAnsi" w:hAnsiTheme="majorHAnsi"/>
                <w:color w:val="2F2B20" w:themeColor="background1"/>
              </w:rPr>
              <w:t xml:space="preserve">too </w:t>
            </w:r>
            <w:r w:rsidR="00553A65" w:rsidRPr="002C1C62">
              <w:rPr>
                <w:rFonts w:asciiTheme="majorHAnsi" w:hAnsiTheme="majorHAnsi"/>
                <w:color w:val="2F2B20" w:themeColor="background1"/>
              </w:rPr>
              <w:t>has various support structures in place</w:t>
            </w:r>
            <w:r w:rsidRPr="002C1C62">
              <w:rPr>
                <w:rFonts w:asciiTheme="majorHAnsi" w:hAnsiTheme="majorHAnsi"/>
                <w:color w:val="2F2B20" w:themeColor="background1"/>
              </w:rPr>
              <w:t>.</w:t>
            </w:r>
          </w:p>
        </w:tc>
      </w:tr>
      <w:tr w:rsidR="002C1C62" w:rsidRPr="002C1C62" w14:paraId="43EEDEEB" w14:textId="77777777" w:rsidTr="00000D65">
        <w:tc>
          <w:tcPr>
            <w:tcW w:w="9924" w:type="dxa"/>
          </w:tcPr>
          <w:p w14:paraId="17C6E293" w14:textId="7B8C2729" w:rsidR="00090233" w:rsidRPr="002C1C62" w:rsidRDefault="00090233" w:rsidP="00090233">
            <w:pPr>
              <w:pStyle w:val="ListParagraph"/>
              <w:numPr>
                <w:ilvl w:val="0"/>
                <w:numId w:val="4"/>
              </w:numPr>
              <w:spacing w:before="80" w:after="80"/>
              <w:rPr>
                <w:rFonts w:asciiTheme="majorHAnsi" w:hAnsiTheme="majorHAnsi"/>
                <w:color w:val="2F2B20" w:themeColor="background1"/>
              </w:rPr>
            </w:pPr>
            <w:r w:rsidRPr="002C1C62">
              <w:rPr>
                <w:rFonts w:asciiTheme="majorHAnsi" w:hAnsiTheme="majorHAnsi"/>
                <w:color w:val="2F2B20" w:themeColor="background1"/>
              </w:rPr>
              <w:t xml:space="preserve">All supervisors, especially novice supervisors, are encouraged to participate in such supervision development opportunities as may be made available, such as the national </w:t>
            </w:r>
            <w:r w:rsidRPr="002C1C62">
              <w:rPr>
                <w:rFonts w:asciiTheme="majorHAnsi" w:hAnsiTheme="majorHAnsi"/>
                <w:i/>
                <w:color w:val="2F2B20" w:themeColor="background1"/>
              </w:rPr>
              <w:t>Strengthening Postgraduate Supervision</w:t>
            </w:r>
            <w:r w:rsidRPr="002C1C62">
              <w:rPr>
                <w:rFonts w:asciiTheme="majorHAnsi" w:hAnsiTheme="majorHAnsi"/>
                <w:color w:val="2F2B20" w:themeColor="background1"/>
              </w:rPr>
              <w:t xml:space="preserve"> course.</w:t>
            </w:r>
          </w:p>
        </w:tc>
      </w:tr>
      <w:tr w:rsidR="002C1C62" w:rsidRPr="002C1C62" w14:paraId="3157C876" w14:textId="77777777" w:rsidTr="00000D65">
        <w:tc>
          <w:tcPr>
            <w:tcW w:w="9924" w:type="dxa"/>
          </w:tcPr>
          <w:p w14:paraId="4B19A18F" w14:textId="63B66A4E" w:rsidR="00B27697" w:rsidRPr="002C1C62" w:rsidRDefault="00B27697" w:rsidP="002C77D9">
            <w:pPr>
              <w:pStyle w:val="ListParagraph"/>
              <w:numPr>
                <w:ilvl w:val="0"/>
                <w:numId w:val="4"/>
              </w:numPr>
              <w:spacing w:before="80" w:after="80"/>
              <w:rPr>
                <w:rFonts w:asciiTheme="majorHAnsi" w:hAnsiTheme="majorHAnsi"/>
                <w:color w:val="2F2B20" w:themeColor="background1"/>
              </w:rPr>
            </w:pPr>
            <w:r w:rsidRPr="002C1C62">
              <w:rPr>
                <w:rFonts w:asciiTheme="majorHAnsi" w:hAnsiTheme="majorHAnsi"/>
                <w:color w:val="2F2B20" w:themeColor="background1"/>
              </w:rPr>
              <w:t xml:space="preserve">The evidence that the most effective supervisors are those </w:t>
            </w:r>
            <w:r w:rsidR="00076DE9" w:rsidRPr="002C1C62">
              <w:rPr>
                <w:rFonts w:asciiTheme="majorHAnsi" w:hAnsiTheme="majorHAnsi"/>
                <w:color w:val="2F2B20" w:themeColor="background1"/>
              </w:rPr>
              <w:t>who</w:t>
            </w:r>
            <w:r w:rsidRPr="002C1C62">
              <w:rPr>
                <w:rFonts w:asciiTheme="majorHAnsi" w:hAnsiTheme="majorHAnsi"/>
                <w:color w:val="2F2B20" w:themeColor="background1"/>
              </w:rPr>
              <w:t xml:space="preserve"> are research active (</w:t>
            </w:r>
            <w:r w:rsidR="00BB295D" w:rsidRPr="002C1C62">
              <w:rPr>
                <w:rFonts w:asciiTheme="majorHAnsi" w:hAnsiTheme="majorHAnsi"/>
                <w:color w:val="2F2B20" w:themeColor="background1"/>
              </w:rPr>
              <w:t>ASSAf 2010, Cloete, Mouton and Sheppard 2015</w:t>
            </w:r>
            <w:r w:rsidRPr="002C1C62">
              <w:rPr>
                <w:rFonts w:asciiTheme="majorHAnsi" w:hAnsiTheme="majorHAnsi"/>
                <w:color w:val="2F2B20" w:themeColor="background1"/>
              </w:rPr>
              <w:t xml:space="preserve">) is taken seriously. </w:t>
            </w:r>
            <w:r w:rsidR="002C77D9" w:rsidRPr="002C1C62">
              <w:rPr>
                <w:rFonts w:asciiTheme="majorHAnsi" w:hAnsiTheme="majorHAnsi"/>
                <w:color w:val="2F2B20" w:themeColor="background1"/>
              </w:rPr>
              <w:t>It is understood that novice supervisors will not initially have strong research profiles but all s</w:t>
            </w:r>
            <w:r w:rsidRPr="002C1C62">
              <w:rPr>
                <w:rFonts w:asciiTheme="majorHAnsi" w:hAnsiTheme="majorHAnsi"/>
                <w:color w:val="2F2B20" w:themeColor="background1"/>
              </w:rPr>
              <w:t xml:space="preserve">upervisors are expected to actively </w:t>
            </w:r>
            <w:r w:rsidR="00A97A6E" w:rsidRPr="002C1C62">
              <w:rPr>
                <w:rFonts w:asciiTheme="majorHAnsi" w:hAnsiTheme="majorHAnsi"/>
                <w:color w:val="2F2B20" w:themeColor="background1"/>
              </w:rPr>
              <w:t>contribute</w:t>
            </w:r>
            <w:r w:rsidRPr="002C1C62">
              <w:rPr>
                <w:rFonts w:asciiTheme="majorHAnsi" w:hAnsiTheme="majorHAnsi"/>
                <w:color w:val="2F2B20" w:themeColor="background1"/>
              </w:rPr>
              <w:t xml:space="preserve"> </w:t>
            </w:r>
            <w:r w:rsidR="00A97A6E" w:rsidRPr="002C1C62">
              <w:rPr>
                <w:rFonts w:asciiTheme="majorHAnsi" w:hAnsiTheme="majorHAnsi"/>
                <w:color w:val="2F2B20" w:themeColor="background1"/>
              </w:rPr>
              <w:t>to</w:t>
            </w:r>
            <w:r w:rsidRPr="002C1C62">
              <w:rPr>
                <w:rFonts w:asciiTheme="majorHAnsi" w:hAnsiTheme="majorHAnsi"/>
                <w:color w:val="2F2B20" w:themeColor="background1"/>
              </w:rPr>
              <w:t xml:space="preserve"> the relevant discipline or field or research area and to </w:t>
            </w:r>
            <w:r w:rsidR="006206D4" w:rsidRPr="002C1C62">
              <w:rPr>
                <w:rFonts w:asciiTheme="majorHAnsi" w:hAnsiTheme="majorHAnsi"/>
                <w:color w:val="2F2B20" w:themeColor="background1"/>
              </w:rPr>
              <w:t>seek opportunities for</w:t>
            </w:r>
            <w:r w:rsidRPr="002C1C62">
              <w:rPr>
                <w:rFonts w:asciiTheme="majorHAnsi" w:hAnsiTheme="majorHAnsi"/>
                <w:color w:val="2F2B20" w:themeColor="background1"/>
              </w:rPr>
              <w:t xml:space="preserve"> their own development in this regard.</w:t>
            </w:r>
            <w:r w:rsidR="002C77D9" w:rsidRPr="002C1C62">
              <w:rPr>
                <w:rFonts w:asciiTheme="majorHAnsi" w:hAnsiTheme="majorHAnsi"/>
                <w:color w:val="2F2B20" w:themeColor="background1"/>
              </w:rPr>
              <w:t xml:space="preserve"> </w:t>
            </w:r>
          </w:p>
        </w:tc>
      </w:tr>
      <w:tr w:rsidR="002C1C62" w:rsidRPr="002C1C62" w14:paraId="1333F626" w14:textId="77777777" w:rsidTr="00000D65">
        <w:tc>
          <w:tcPr>
            <w:tcW w:w="9924" w:type="dxa"/>
          </w:tcPr>
          <w:p w14:paraId="51BE78FA" w14:textId="709B2424" w:rsidR="00594FA8" w:rsidRPr="002C1C62" w:rsidRDefault="00A8316A" w:rsidP="00C45B1D">
            <w:pPr>
              <w:pStyle w:val="ListParagraph"/>
              <w:numPr>
                <w:ilvl w:val="0"/>
                <w:numId w:val="4"/>
              </w:numPr>
              <w:spacing w:before="80" w:after="80"/>
              <w:rPr>
                <w:rFonts w:asciiTheme="majorHAnsi" w:hAnsiTheme="majorHAnsi"/>
                <w:color w:val="2F2B20" w:themeColor="background1"/>
              </w:rPr>
            </w:pPr>
            <w:r w:rsidRPr="002C1C62">
              <w:rPr>
                <w:rFonts w:asciiTheme="majorHAnsi" w:hAnsiTheme="majorHAnsi"/>
                <w:color w:val="2F2B20" w:themeColor="background1"/>
              </w:rPr>
              <w:t xml:space="preserve">The criteria for appointment as supervisor vary from faculty to faculty. However, supervisors are </w:t>
            </w:r>
            <w:r w:rsidR="00C45B1D">
              <w:rPr>
                <w:rFonts w:asciiTheme="majorHAnsi" w:hAnsiTheme="majorHAnsi"/>
                <w:color w:val="2F2B20" w:themeColor="background1"/>
              </w:rPr>
              <w:t>ideally</w:t>
            </w:r>
            <w:r w:rsidR="002C77D9" w:rsidRPr="002C1C62">
              <w:rPr>
                <w:rFonts w:asciiTheme="majorHAnsi" w:hAnsiTheme="majorHAnsi"/>
                <w:color w:val="2F2B20" w:themeColor="background1"/>
              </w:rPr>
              <w:t xml:space="preserve"> </w:t>
            </w:r>
            <w:r w:rsidRPr="002C1C62">
              <w:rPr>
                <w:rFonts w:asciiTheme="majorHAnsi" w:hAnsiTheme="majorHAnsi"/>
                <w:color w:val="2F2B20" w:themeColor="background1"/>
              </w:rPr>
              <w:t xml:space="preserve">expected to hold a qualification one level higher than that at which they </w:t>
            </w:r>
            <w:r w:rsidR="00076DE9" w:rsidRPr="002C1C62">
              <w:rPr>
                <w:rFonts w:asciiTheme="majorHAnsi" w:hAnsiTheme="majorHAnsi"/>
                <w:color w:val="2F2B20" w:themeColor="background1"/>
              </w:rPr>
              <w:t>supervise</w:t>
            </w:r>
            <w:r w:rsidRPr="002C1C62">
              <w:rPr>
                <w:rFonts w:asciiTheme="majorHAnsi" w:hAnsiTheme="majorHAnsi"/>
                <w:color w:val="2F2B20" w:themeColor="background1"/>
              </w:rPr>
              <w:t xml:space="preserve"> (CHE 2004)</w:t>
            </w:r>
            <w:r w:rsidR="00076DE9" w:rsidRPr="002C1C62">
              <w:rPr>
                <w:rFonts w:asciiTheme="majorHAnsi" w:hAnsiTheme="majorHAnsi"/>
                <w:color w:val="2F2B20" w:themeColor="background1"/>
              </w:rPr>
              <w:t>,</w:t>
            </w:r>
            <w:r w:rsidRPr="002C1C62">
              <w:rPr>
                <w:rFonts w:asciiTheme="majorHAnsi" w:hAnsiTheme="majorHAnsi"/>
                <w:color w:val="2F2B20" w:themeColor="background1"/>
              </w:rPr>
              <w:t xml:space="preserve"> except in the case of the doctorate which specifies the ability to supervise</w:t>
            </w:r>
            <w:r w:rsidR="00076DE9" w:rsidRPr="002C1C62">
              <w:rPr>
                <w:rFonts w:asciiTheme="majorHAnsi" w:hAnsiTheme="majorHAnsi"/>
                <w:color w:val="2F2B20" w:themeColor="background1"/>
              </w:rPr>
              <w:t xml:space="preserve"> doctorates</w:t>
            </w:r>
            <w:r w:rsidRPr="002C1C62">
              <w:rPr>
                <w:rFonts w:asciiTheme="majorHAnsi" w:hAnsiTheme="majorHAnsi"/>
                <w:color w:val="2F2B20" w:themeColor="background1"/>
              </w:rPr>
              <w:t xml:space="preserve"> as an outcome (</w:t>
            </w:r>
            <w:r w:rsidR="00662BBE" w:rsidRPr="002C1C62">
              <w:rPr>
                <w:rFonts w:asciiTheme="majorHAnsi" w:hAnsiTheme="majorHAnsi"/>
                <w:color w:val="2F2B20" w:themeColor="background1"/>
              </w:rPr>
              <w:t>DHET 2012</w:t>
            </w:r>
            <w:r w:rsidRPr="002C1C62">
              <w:rPr>
                <w:rFonts w:asciiTheme="majorHAnsi" w:hAnsiTheme="majorHAnsi"/>
                <w:color w:val="2F2B20" w:themeColor="background1"/>
              </w:rPr>
              <w:t xml:space="preserve">). </w:t>
            </w:r>
          </w:p>
        </w:tc>
      </w:tr>
      <w:tr w:rsidR="002C1C62" w:rsidRPr="002C1C62" w14:paraId="58A946E0" w14:textId="77777777" w:rsidTr="00000D65">
        <w:tc>
          <w:tcPr>
            <w:tcW w:w="9924" w:type="dxa"/>
          </w:tcPr>
          <w:p w14:paraId="63A1FE65" w14:textId="5498EDB8" w:rsidR="00250160" w:rsidRPr="002C1C62" w:rsidRDefault="00A8316A" w:rsidP="00A8316A">
            <w:pPr>
              <w:pStyle w:val="ListParagraph"/>
              <w:numPr>
                <w:ilvl w:val="0"/>
                <w:numId w:val="4"/>
              </w:numPr>
              <w:spacing w:before="80" w:after="80"/>
              <w:rPr>
                <w:rFonts w:asciiTheme="majorHAnsi" w:hAnsiTheme="majorHAnsi"/>
                <w:color w:val="2F2B20" w:themeColor="background1"/>
              </w:rPr>
            </w:pPr>
            <w:r w:rsidRPr="002C1C62">
              <w:rPr>
                <w:rFonts w:asciiTheme="majorHAnsi" w:hAnsiTheme="majorHAnsi"/>
                <w:color w:val="2F2B20" w:themeColor="background1"/>
              </w:rPr>
              <w:t xml:space="preserve">There are numerous </w:t>
            </w:r>
            <w:r w:rsidR="00B27697" w:rsidRPr="002C1C62">
              <w:rPr>
                <w:rFonts w:asciiTheme="majorHAnsi" w:hAnsiTheme="majorHAnsi"/>
                <w:color w:val="2F2B20" w:themeColor="background1"/>
              </w:rPr>
              <w:t>issues that pertain to the number of HDR students any particular academic can supervise</w:t>
            </w:r>
            <w:r w:rsidRPr="002C1C62">
              <w:rPr>
                <w:rFonts w:asciiTheme="majorHAnsi" w:hAnsiTheme="majorHAnsi"/>
                <w:color w:val="2F2B20" w:themeColor="background1"/>
              </w:rPr>
              <w:t xml:space="preserve"> at one time</w:t>
            </w:r>
            <w:r w:rsidR="00B27697" w:rsidRPr="002C1C62">
              <w:rPr>
                <w:rFonts w:asciiTheme="majorHAnsi" w:hAnsiTheme="majorHAnsi"/>
                <w:color w:val="2F2B20" w:themeColor="background1"/>
              </w:rPr>
              <w:t>. These inclu</w:t>
            </w:r>
            <w:r w:rsidR="006206D4" w:rsidRPr="002C1C62">
              <w:rPr>
                <w:rFonts w:asciiTheme="majorHAnsi" w:hAnsiTheme="majorHAnsi"/>
                <w:color w:val="2F2B20" w:themeColor="background1"/>
              </w:rPr>
              <w:t xml:space="preserve">de the nature of the discipline, </w:t>
            </w:r>
            <w:r w:rsidR="00B27697" w:rsidRPr="002C1C62">
              <w:rPr>
                <w:rFonts w:asciiTheme="majorHAnsi" w:hAnsiTheme="majorHAnsi"/>
                <w:color w:val="2F2B20" w:themeColor="background1"/>
              </w:rPr>
              <w:t>the level of study, the model of supervision being used, the varied other responsibilities held by the supervisor, and the needs of the particular student. No specific limits are therefore set</w:t>
            </w:r>
            <w:r w:rsidR="00076DE9" w:rsidRPr="002C1C62">
              <w:rPr>
                <w:rFonts w:asciiTheme="majorHAnsi" w:hAnsiTheme="majorHAnsi"/>
                <w:color w:val="2F2B20" w:themeColor="background1"/>
              </w:rPr>
              <w:t>,</w:t>
            </w:r>
            <w:r w:rsidR="00B27697" w:rsidRPr="002C1C62">
              <w:rPr>
                <w:rFonts w:asciiTheme="majorHAnsi" w:hAnsiTheme="majorHAnsi"/>
                <w:color w:val="2F2B20" w:themeColor="background1"/>
              </w:rPr>
              <w:t xml:space="preserve"> however HoDs need to monitor the number of HDR scholars allocated to individual supervisors and </w:t>
            </w:r>
            <w:r w:rsidRPr="002C1C62">
              <w:rPr>
                <w:rFonts w:asciiTheme="majorHAnsi" w:hAnsiTheme="majorHAnsi"/>
                <w:color w:val="2F2B20" w:themeColor="background1"/>
              </w:rPr>
              <w:t xml:space="preserve">to </w:t>
            </w:r>
            <w:r w:rsidR="00B27697" w:rsidRPr="002C1C62">
              <w:rPr>
                <w:rFonts w:asciiTheme="majorHAnsi" w:hAnsiTheme="majorHAnsi"/>
                <w:color w:val="2F2B20" w:themeColor="background1"/>
              </w:rPr>
              <w:t>take into account their other responsibilities and their tr</w:t>
            </w:r>
            <w:r w:rsidR="006206D4" w:rsidRPr="002C1C62">
              <w:rPr>
                <w:rFonts w:asciiTheme="majorHAnsi" w:hAnsiTheme="majorHAnsi"/>
                <w:color w:val="2F2B20" w:themeColor="background1"/>
              </w:rPr>
              <w:t>ack record</w:t>
            </w:r>
            <w:r w:rsidR="00B27697" w:rsidRPr="002C1C62">
              <w:rPr>
                <w:rFonts w:asciiTheme="majorHAnsi" w:hAnsiTheme="majorHAnsi"/>
                <w:color w:val="2F2B20" w:themeColor="background1"/>
              </w:rPr>
              <w:t xml:space="preserve"> of supervising students to graduation before </w:t>
            </w:r>
            <w:r w:rsidRPr="002C1C62">
              <w:rPr>
                <w:rFonts w:asciiTheme="majorHAnsi" w:hAnsiTheme="majorHAnsi"/>
                <w:color w:val="2F2B20" w:themeColor="background1"/>
              </w:rPr>
              <w:t>recommending</w:t>
            </w:r>
            <w:r w:rsidR="00B27697" w:rsidRPr="002C1C62">
              <w:rPr>
                <w:rFonts w:asciiTheme="majorHAnsi" w:hAnsiTheme="majorHAnsi"/>
                <w:color w:val="2F2B20" w:themeColor="background1"/>
              </w:rPr>
              <w:t xml:space="preserve"> each new HDR supervision</w:t>
            </w:r>
            <w:r w:rsidR="00470432" w:rsidRPr="002C1C62">
              <w:rPr>
                <w:rFonts w:asciiTheme="majorHAnsi" w:hAnsiTheme="majorHAnsi"/>
                <w:color w:val="2F2B20" w:themeColor="background1"/>
              </w:rPr>
              <w:t xml:space="preserve"> to Faculty B</w:t>
            </w:r>
            <w:r w:rsidRPr="002C1C62">
              <w:rPr>
                <w:rFonts w:asciiTheme="majorHAnsi" w:hAnsiTheme="majorHAnsi"/>
                <w:color w:val="2F2B20" w:themeColor="background1"/>
              </w:rPr>
              <w:t>oard</w:t>
            </w:r>
            <w:r w:rsidR="00B27697" w:rsidRPr="002C1C62">
              <w:rPr>
                <w:rFonts w:asciiTheme="majorHAnsi" w:hAnsiTheme="majorHAnsi"/>
                <w:color w:val="2F2B20" w:themeColor="background1"/>
              </w:rPr>
              <w:t xml:space="preserve">. </w:t>
            </w:r>
          </w:p>
        </w:tc>
      </w:tr>
      <w:tr w:rsidR="002C1C62" w:rsidRPr="002C1C62" w14:paraId="30442F51" w14:textId="77777777" w:rsidTr="00000D65">
        <w:tc>
          <w:tcPr>
            <w:tcW w:w="9924" w:type="dxa"/>
          </w:tcPr>
          <w:p w14:paraId="7110E593" w14:textId="7F3F17A5" w:rsidR="00D8231D" w:rsidRPr="002C1C62" w:rsidRDefault="00553A65" w:rsidP="006206D4">
            <w:pPr>
              <w:pStyle w:val="ListParagraph"/>
              <w:numPr>
                <w:ilvl w:val="0"/>
                <w:numId w:val="4"/>
              </w:numPr>
              <w:spacing w:before="80" w:after="80"/>
              <w:rPr>
                <w:rFonts w:asciiTheme="majorHAnsi" w:hAnsiTheme="majorHAnsi"/>
                <w:color w:val="2F2B20" w:themeColor="background1"/>
              </w:rPr>
            </w:pPr>
            <w:r w:rsidRPr="002C1C62">
              <w:rPr>
                <w:rFonts w:asciiTheme="majorHAnsi" w:hAnsiTheme="majorHAnsi"/>
                <w:color w:val="2F2B20" w:themeColor="background1"/>
              </w:rPr>
              <w:t>S</w:t>
            </w:r>
            <w:r w:rsidR="006206D4" w:rsidRPr="002C1C62">
              <w:rPr>
                <w:rFonts w:asciiTheme="majorHAnsi" w:hAnsiTheme="majorHAnsi"/>
                <w:color w:val="2F2B20" w:themeColor="background1"/>
              </w:rPr>
              <w:t>upervisors are expected to continue with their HDR responsibilities while on s</w:t>
            </w:r>
            <w:r w:rsidRPr="002C1C62">
              <w:rPr>
                <w:rFonts w:asciiTheme="majorHAnsi" w:hAnsiTheme="majorHAnsi"/>
                <w:color w:val="2F2B20" w:themeColor="background1"/>
              </w:rPr>
              <w:t>abbatical leave</w:t>
            </w:r>
            <w:r w:rsidR="006206D4" w:rsidRPr="002C1C62">
              <w:rPr>
                <w:rFonts w:asciiTheme="majorHAnsi" w:hAnsiTheme="majorHAnsi"/>
                <w:color w:val="2F2B20" w:themeColor="background1"/>
              </w:rPr>
              <w:t>. In cases where there is a co-supervisor or supervisory team, such responsibilities might be re-allocated for the duration of the sabbatical and the HoD and HDR candidate must be fully informed of such arrangements.</w:t>
            </w:r>
          </w:p>
        </w:tc>
      </w:tr>
      <w:tr w:rsidR="002C1C62" w:rsidRPr="002C1C62" w14:paraId="71BC0300" w14:textId="77777777" w:rsidTr="00000D65">
        <w:tc>
          <w:tcPr>
            <w:tcW w:w="9924" w:type="dxa"/>
          </w:tcPr>
          <w:p w14:paraId="42D7F418" w14:textId="5EE75E7F" w:rsidR="00D8231D" w:rsidRPr="002C1C62" w:rsidRDefault="006206D4" w:rsidP="00A8316A">
            <w:pPr>
              <w:pStyle w:val="ListParagraph"/>
              <w:widowControl w:val="0"/>
              <w:numPr>
                <w:ilvl w:val="0"/>
                <w:numId w:val="4"/>
              </w:numPr>
              <w:autoSpaceDE w:val="0"/>
              <w:autoSpaceDN w:val="0"/>
              <w:adjustRightInd w:val="0"/>
              <w:spacing w:before="80" w:after="80"/>
              <w:rPr>
                <w:rFonts w:asciiTheme="majorHAnsi" w:hAnsiTheme="majorHAnsi"/>
                <w:color w:val="2F2B20" w:themeColor="background1"/>
              </w:rPr>
            </w:pPr>
            <w:r w:rsidRPr="002C1C62">
              <w:rPr>
                <w:rFonts w:asciiTheme="majorHAnsi" w:hAnsiTheme="majorHAnsi"/>
                <w:color w:val="2F2B20" w:themeColor="background1"/>
              </w:rPr>
              <w:t xml:space="preserve">Additional supervisors might </w:t>
            </w:r>
            <w:r w:rsidR="00A8316A" w:rsidRPr="002C1C62">
              <w:rPr>
                <w:rFonts w:asciiTheme="majorHAnsi" w:hAnsiTheme="majorHAnsi"/>
                <w:color w:val="2F2B20" w:themeColor="background1"/>
              </w:rPr>
              <w:t>be added to</w:t>
            </w:r>
            <w:r w:rsidRPr="002C1C62">
              <w:rPr>
                <w:rFonts w:asciiTheme="majorHAnsi" w:hAnsiTheme="majorHAnsi"/>
                <w:color w:val="2F2B20" w:themeColor="background1"/>
              </w:rPr>
              <w:t xml:space="preserve"> the team at various points in the research process to attend to requirements for particular expertise as may arise. Such additions should be approved by Faculty Board in the same way that supervisor allocations are approved at </w:t>
            </w:r>
            <w:r w:rsidR="00A8316A" w:rsidRPr="002C1C62">
              <w:rPr>
                <w:rFonts w:asciiTheme="majorHAnsi" w:hAnsiTheme="majorHAnsi"/>
                <w:color w:val="2F2B20" w:themeColor="background1"/>
              </w:rPr>
              <w:t xml:space="preserve">the </w:t>
            </w:r>
            <w:r w:rsidRPr="002C1C62">
              <w:rPr>
                <w:rFonts w:asciiTheme="majorHAnsi" w:hAnsiTheme="majorHAnsi"/>
                <w:color w:val="2F2B20" w:themeColor="background1"/>
              </w:rPr>
              <w:t xml:space="preserve">time of research proposal approval. </w:t>
            </w:r>
            <w:r w:rsidR="002C77D9" w:rsidRPr="002C1C62">
              <w:rPr>
                <w:rFonts w:asciiTheme="majorHAnsi" w:hAnsiTheme="majorHAnsi"/>
                <w:color w:val="2F2B20" w:themeColor="background1"/>
              </w:rPr>
              <w:t xml:space="preserve">If roles change considerably during the postgraduate process, for example, where a co-supervisor becomes the main supervisor, this should be reported to Faculty Board. </w:t>
            </w:r>
            <w:r w:rsidRPr="002C1C62">
              <w:rPr>
                <w:rFonts w:asciiTheme="majorHAnsi" w:hAnsiTheme="majorHAnsi"/>
                <w:color w:val="2F2B20" w:themeColor="background1"/>
              </w:rPr>
              <w:t xml:space="preserve">Where supervisors leave a project, this should similarly be recorded at Faculty Board with a clear explanation. Where candidates are left without a supervisor (for example, through relocation of supervisor), the HoD shall be responsible for making arrangements with the candidate for a replacement supervisor as a matter of urgency. </w:t>
            </w:r>
          </w:p>
        </w:tc>
      </w:tr>
      <w:tr w:rsidR="002C1C62" w:rsidRPr="002C1C62" w14:paraId="26CC7451" w14:textId="77777777" w:rsidTr="00000D65">
        <w:tc>
          <w:tcPr>
            <w:tcW w:w="9924" w:type="dxa"/>
          </w:tcPr>
          <w:p w14:paraId="5F3246A1" w14:textId="52F20E74" w:rsidR="00076DE9" w:rsidRPr="002C1C62" w:rsidRDefault="00076DE9" w:rsidP="005F5D63">
            <w:pPr>
              <w:pStyle w:val="ListParagraph"/>
              <w:widowControl w:val="0"/>
              <w:numPr>
                <w:ilvl w:val="0"/>
                <w:numId w:val="4"/>
              </w:numPr>
              <w:autoSpaceDE w:val="0"/>
              <w:autoSpaceDN w:val="0"/>
              <w:adjustRightInd w:val="0"/>
              <w:spacing w:before="80" w:after="80"/>
              <w:rPr>
                <w:rFonts w:asciiTheme="majorHAnsi" w:hAnsiTheme="majorHAnsi"/>
                <w:color w:val="2F2B20" w:themeColor="background1"/>
              </w:rPr>
            </w:pPr>
            <w:r w:rsidRPr="002C1C62">
              <w:rPr>
                <w:rFonts w:asciiTheme="majorHAnsi" w:hAnsiTheme="majorHAnsi"/>
                <w:color w:val="2F2B20" w:themeColor="background1"/>
              </w:rPr>
              <w:t xml:space="preserve">Co-supervisors who are external to the university can be appointed but it is </w:t>
            </w:r>
            <w:r w:rsidR="00EB40A7" w:rsidRPr="002C1C62">
              <w:rPr>
                <w:rFonts w:asciiTheme="majorHAnsi" w:hAnsiTheme="majorHAnsi"/>
                <w:color w:val="2F2B20" w:themeColor="background1"/>
              </w:rPr>
              <w:t xml:space="preserve">normally </w:t>
            </w:r>
            <w:r w:rsidRPr="002C1C62">
              <w:rPr>
                <w:rFonts w:asciiTheme="majorHAnsi" w:hAnsiTheme="majorHAnsi"/>
                <w:color w:val="2F2B20" w:themeColor="background1"/>
              </w:rPr>
              <w:t xml:space="preserve">required that there be a supervisor internal to the institution responsible for </w:t>
            </w:r>
            <w:r w:rsidR="00D642FC">
              <w:rPr>
                <w:rFonts w:asciiTheme="majorHAnsi" w:hAnsiTheme="majorHAnsi"/>
                <w:color w:val="2F2B20" w:themeColor="background1"/>
              </w:rPr>
              <w:t xml:space="preserve">amongst other </w:t>
            </w:r>
            <w:r w:rsidR="005F5D63">
              <w:rPr>
                <w:rFonts w:asciiTheme="majorHAnsi" w:hAnsiTheme="majorHAnsi"/>
                <w:color w:val="2F2B20" w:themeColor="background1"/>
              </w:rPr>
              <w:t>usual supervision responsibilities</w:t>
            </w:r>
            <w:r w:rsidR="00D642FC">
              <w:rPr>
                <w:rFonts w:asciiTheme="majorHAnsi" w:hAnsiTheme="majorHAnsi"/>
                <w:color w:val="2F2B20" w:themeColor="background1"/>
              </w:rPr>
              <w:t xml:space="preserve">, overseeing </w:t>
            </w:r>
            <w:r w:rsidRPr="002C1C62">
              <w:rPr>
                <w:rFonts w:asciiTheme="majorHAnsi" w:hAnsiTheme="majorHAnsi"/>
                <w:color w:val="2F2B20" w:themeColor="background1"/>
              </w:rPr>
              <w:t xml:space="preserve">procedural aspects such as the approval of the proposal by the Higher Degrees Committee and the submission of the thesis for examination. External co-supervisors are expected to be made aware of this HDR supervision policy and the Higher Degrees Guide. </w:t>
            </w:r>
            <w:r w:rsidR="00D642FC">
              <w:rPr>
                <w:rFonts w:asciiTheme="majorHAnsi" w:hAnsiTheme="majorHAnsi"/>
                <w:color w:val="2F2B20" w:themeColor="background1"/>
              </w:rPr>
              <w:t xml:space="preserve">They are expected to play an active role in the supervision process alongside the internal co-supervisor. </w:t>
            </w:r>
            <w:r w:rsidRPr="002C1C62">
              <w:rPr>
                <w:rFonts w:asciiTheme="majorHAnsi" w:hAnsiTheme="majorHAnsi"/>
                <w:color w:val="2F2B20" w:themeColor="background1"/>
              </w:rPr>
              <w:t>Payment to external co-supervisors is dependent on arrangements made by individual departments.</w:t>
            </w:r>
          </w:p>
        </w:tc>
      </w:tr>
      <w:tr w:rsidR="002C1C62" w:rsidRPr="002C1C62" w14:paraId="0C00491A" w14:textId="77777777" w:rsidTr="00000D65">
        <w:tc>
          <w:tcPr>
            <w:tcW w:w="9924" w:type="dxa"/>
          </w:tcPr>
          <w:p w14:paraId="7D21928E" w14:textId="0AC65D1C" w:rsidR="006206D4" w:rsidRPr="002C1C62" w:rsidRDefault="006206D4" w:rsidP="00BB295D">
            <w:pPr>
              <w:pStyle w:val="ListParagraph"/>
              <w:numPr>
                <w:ilvl w:val="0"/>
                <w:numId w:val="4"/>
              </w:numPr>
              <w:spacing w:before="80" w:after="80"/>
              <w:rPr>
                <w:rFonts w:asciiTheme="majorHAnsi" w:hAnsiTheme="majorHAnsi"/>
                <w:color w:val="2F2B20" w:themeColor="background1"/>
              </w:rPr>
            </w:pPr>
            <w:r w:rsidRPr="002C1C62">
              <w:rPr>
                <w:rFonts w:asciiTheme="majorHAnsi" w:hAnsiTheme="majorHAnsi"/>
                <w:color w:val="2F2B20" w:themeColor="background1"/>
              </w:rPr>
              <w:t>Disputes between any members of the supervision team, including the supervisor and candidate, should be managed by the HoD</w:t>
            </w:r>
            <w:r w:rsidR="00C45B1D">
              <w:rPr>
                <w:rFonts w:asciiTheme="majorHAnsi" w:hAnsiTheme="majorHAnsi"/>
                <w:color w:val="2F2B20" w:themeColor="background1"/>
              </w:rPr>
              <w:t xml:space="preserve"> or his or her designated representative</w:t>
            </w:r>
            <w:r w:rsidRPr="002C1C62">
              <w:rPr>
                <w:rFonts w:asciiTheme="majorHAnsi" w:hAnsiTheme="majorHAnsi"/>
                <w:color w:val="2F2B20" w:themeColor="background1"/>
              </w:rPr>
              <w:t xml:space="preserve">, or in the case where the HoD is on the supervision team, by the Dean of the Faculty. Both the DVC: Research and the Director of the CPGS might be </w:t>
            </w:r>
            <w:r w:rsidR="00076DE9" w:rsidRPr="002C1C62">
              <w:rPr>
                <w:rFonts w:asciiTheme="majorHAnsi" w:hAnsiTheme="majorHAnsi"/>
                <w:color w:val="2F2B20" w:themeColor="background1"/>
              </w:rPr>
              <w:t>asked</w:t>
            </w:r>
            <w:r w:rsidRPr="002C1C62">
              <w:rPr>
                <w:rFonts w:asciiTheme="majorHAnsi" w:hAnsiTheme="majorHAnsi"/>
                <w:color w:val="2F2B20" w:themeColor="background1"/>
              </w:rPr>
              <w:t xml:space="preserve"> to assist with resolving the dispute. Where it is believed to be in the best int</w:t>
            </w:r>
            <w:r w:rsidR="00BB295D" w:rsidRPr="002C1C62">
              <w:rPr>
                <w:rFonts w:asciiTheme="majorHAnsi" w:hAnsiTheme="majorHAnsi"/>
                <w:color w:val="2F2B20" w:themeColor="background1"/>
              </w:rPr>
              <w:t>erests of the research project</w:t>
            </w:r>
            <w:r w:rsidRPr="002C1C62">
              <w:rPr>
                <w:rFonts w:asciiTheme="majorHAnsi" w:hAnsiTheme="majorHAnsi"/>
                <w:color w:val="2F2B20" w:themeColor="background1"/>
              </w:rPr>
              <w:t xml:space="preserve"> and members of the team for a new supervisor to be allocated, the HoD shall be responsible for making arrangements with the candidate for a replacement supervisor as a matter of urgency.</w:t>
            </w:r>
          </w:p>
        </w:tc>
      </w:tr>
      <w:tr w:rsidR="002C1C62" w:rsidRPr="002C1C62" w14:paraId="2561A788" w14:textId="77777777" w:rsidTr="00000D65">
        <w:tc>
          <w:tcPr>
            <w:tcW w:w="9924" w:type="dxa"/>
          </w:tcPr>
          <w:p w14:paraId="44344C58" w14:textId="1F7ED586" w:rsidR="00553A65" w:rsidRPr="002C1C62" w:rsidRDefault="00A8316A" w:rsidP="00470432">
            <w:pPr>
              <w:pStyle w:val="ListParagraph"/>
              <w:numPr>
                <w:ilvl w:val="0"/>
                <w:numId w:val="4"/>
              </w:numPr>
              <w:spacing w:before="80" w:after="80"/>
              <w:rPr>
                <w:rFonts w:asciiTheme="majorHAnsi" w:hAnsiTheme="majorHAnsi"/>
                <w:color w:val="2F2B20" w:themeColor="background1"/>
              </w:rPr>
            </w:pPr>
            <w:r w:rsidRPr="002C1C62">
              <w:rPr>
                <w:rFonts w:asciiTheme="majorHAnsi" w:hAnsiTheme="majorHAnsi"/>
                <w:color w:val="2F2B20" w:themeColor="background1"/>
              </w:rPr>
              <w:t xml:space="preserve">Supervisors and HDR candidates are expected to complete progress reports on an annual basis. Where progress is not as desired, the Dean of the Faculty may write a letter to the HDR candidate noting the slow progress and enquiring if </w:t>
            </w:r>
            <w:r w:rsidR="00470432" w:rsidRPr="002C1C62">
              <w:rPr>
                <w:rFonts w:asciiTheme="majorHAnsi" w:hAnsiTheme="majorHAnsi"/>
                <w:color w:val="2F2B20" w:themeColor="background1"/>
              </w:rPr>
              <w:t>an</w:t>
            </w:r>
            <w:r w:rsidRPr="002C1C62">
              <w:rPr>
                <w:rFonts w:asciiTheme="majorHAnsi" w:hAnsiTheme="majorHAnsi"/>
                <w:color w:val="2F2B20" w:themeColor="background1"/>
              </w:rPr>
              <w:t xml:space="preserve"> intervention </w:t>
            </w:r>
            <w:r w:rsidR="002B6D64" w:rsidRPr="002C1C62">
              <w:rPr>
                <w:rFonts w:asciiTheme="majorHAnsi" w:hAnsiTheme="majorHAnsi"/>
                <w:color w:val="2F2B20" w:themeColor="background1"/>
              </w:rPr>
              <w:t xml:space="preserve">is required </w:t>
            </w:r>
            <w:r w:rsidRPr="002C1C62">
              <w:rPr>
                <w:rFonts w:asciiTheme="majorHAnsi" w:hAnsiTheme="majorHAnsi"/>
                <w:color w:val="2F2B20" w:themeColor="background1"/>
              </w:rPr>
              <w:t>to ensure that the candidate makes better progress. Each faculty might set their own expected milestones and deadlines and determine how best to ensure that the progress by HDR candidates is appropriately tracked and encouraged.</w:t>
            </w:r>
          </w:p>
        </w:tc>
      </w:tr>
      <w:tr w:rsidR="002C1C62" w:rsidRPr="002C1C62" w14:paraId="5E332164" w14:textId="77777777" w:rsidTr="00CB2695">
        <w:trPr>
          <w:trHeight w:val="1373"/>
        </w:trPr>
        <w:tc>
          <w:tcPr>
            <w:tcW w:w="9924" w:type="dxa"/>
          </w:tcPr>
          <w:p w14:paraId="07E102BF" w14:textId="69934284" w:rsidR="00553A65" w:rsidRPr="002C1C62" w:rsidRDefault="002B6D64" w:rsidP="00076DE9">
            <w:pPr>
              <w:pStyle w:val="p1"/>
              <w:numPr>
                <w:ilvl w:val="0"/>
                <w:numId w:val="4"/>
              </w:numPr>
              <w:rPr>
                <w:rFonts w:asciiTheme="majorHAnsi" w:hAnsiTheme="majorHAnsi"/>
                <w:color w:val="2F2B20" w:themeColor="background1"/>
              </w:rPr>
            </w:pPr>
            <w:r w:rsidRPr="002C1C62">
              <w:rPr>
                <w:rFonts w:asciiTheme="majorHAnsi" w:hAnsiTheme="majorHAnsi"/>
                <w:color w:val="2F2B20" w:themeColor="background1"/>
                <w:sz w:val="22"/>
                <w:szCs w:val="22"/>
              </w:rPr>
              <w:t xml:space="preserve">The HEQSF (2013) </w:t>
            </w:r>
            <w:r w:rsidR="00076DE9" w:rsidRPr="002C1C62">
              <w:rPr>
                <w:rFonts w:asciiTheme="majorHAnsi" w:hAnsiTheme="majorHAnsi"/>
                <w:color w:val="2F2B20" w:themeColor="background1"/>
                <w:sz w:val="22"/>
                <w:szCs w:val="22"/>
              </w:rPr>
              <w:t xml:space="preserve">specifies that up to PhD level ‘candidates may also present peer-reviewed academic articles and papers, and, in certain fields, creative work such as artefacts, compositions, public performances and public exhibitions in </w:t>
            </w:r>
            <w:r w:rsidR="00076DE9" w:rsidRPr="002C1C62">
              <w:rPr>
                <w:rFonts w:asciiTheme="majorHAnsi" w:hAnsiTheme="majorHAnsi"/>
                <w:i/>
                <w:color w:val="2F2B20" w:themeColor="background1"/>
                <w:sz w:val="22"/>
                <w:szCs w:val="22"/>
              </w:rPr>
              <w:t xml:space="preserve">partial </w:t>
            </w:r>
            <w:r w:rsidR="00076DE9" w:rsidRPr="002C1C62">
              <w:rPr>
                <w:rFonts w:asciiTheme="majorHAnsi" w:hAnsiTheme="majorHAnsi"/>
                <w:color w:val="2F2B20" w:themeColor="background1"/>
                <w:sz w:val="22"/>
                <w:szCs w:val="22"/>
              </w:rPr>
              <w:t xml:space="preserve">fulfilment of the research requirements.’ Combining </w:t>
            </w:r>
            <w:r w:rsidR="00CB2695" w:rsidRPr="002C1C62">
              <w:rPr>
                <w:rFonts w:asciiTheme="majorHAnsi" w:hAnsiTheme="majorHAnsi"/>
                <w:color w:val="2F2B20" w:themeColor="background1"/>
                <w:sz w:val="22"/>
                <w:szCs w:val="22"/>
              </w:rPr>
              <w:t xml:space="preserve">academic </w:t>
            </w:r>
            <w:r w:rsidR="00076DE9" w:rsidRPr="002C1C62">
              <w:rPr>
                <w:rFonts w:asciiTheme="majorHAnsi" w:hAnsiTheme="majorHAnsi"/>
                <w:color w:val="2F2B20" w:themeColor="background1"/>
                <w:sz w:val="22"/>
                <w:szCs w:val="22"/>
              </w:rPr>
              <w:t>publications and creative outputs with thesis submission has implications for supervision and for examination. Each faculty might develop its own requirements and processes in this regard.</w:t>
            </w:r>
          </w:p>
        </w:tc>
      </w:tr>
      <w:tr w:rsidR="002C1C62" w:rsidRPr="002C1C62" w14:paraId="73B76666" w14:textId="77777777" w:rsidTr="00000D65">
        <w:tc>
          <w:tcPr>
            <w:tcW w:w="9924" w:type="dxa"/>
          </w:tcPr>
          <w:p w14:paraId="06D3502C" w14:textId="5573939C" w:rsidR="00553A65" w:rsidRPr="002C1C62" w:rsidRDefault="00553A65" w:rsidP="00CB2695">
            <w:pPr>
              <w:pStyle w:val="ListParagraph"/>
              <w:numPr>
                <w:ilvl w:val="0"/>
                <w:numId w:val="4"/>
              </w:numPr>
              <w:spacing w:before="80" w:after="80"/>
              <w:rPr>
                <w:rFonts w:asciiTheme="majorHAnsi" w:hAnsiTheme="majorHAnsi"/>
                <w:color w:val="2F2B20" w:themeColor="background1"/>
              </w:rPr>
            </w:pPr>
            <w:r w:rsidRPr="002C1C62">
              <w:rPr>
                <w:rFonts w:asciiTheme="majorHAnsi" w:hAnsiTheme="majorHAnsi"/>
                <w:color w:val="2F2B20" w:themeColor="background1"/>
              </w:rPr>
              <w:t>Collaborative offerings such as joint degrees</w:t>
            </w:r>
            <w:r w:rsidR="00076DE9" w:rsidRPr="002C1C62">
              <w:rPr>
                <w:rFonts w:asciiTheme="majorHAnsi" w:hAnsiTheme="majorHAnsi"/>
                <w:color w:val="2F2B20" w:themeColor="background1"/>
              </w:rPr>
              <w:t xml:space="preserve"> with other institutions</w:t>
            </w:r>
            <w:r w:rsidRPr="002C1C62">
              <w:rPr>
                <w:rFonts w:asciiTheme="majorHAnsi" w:hAnsiTheme="majorHAnsi"/>
                <w:color w:val="2F2B20" w:themeColor="background1"/>
              </w:rPr>
              <w:t xml:space="preserve"> need to be approved by </w:t>
            </w:r>
            <w:r w:rsidR="00076DE9" w:rsidRPr="002C1C62">
              <w:rPr>
                <w:rFonts w:asciiTheme="majorHAnsi" w:hAnsiTheme="majorHAnsi"/>
                <w:color w:val="2F2B20" w:themeColor="background1"/>
              </w:rPr>
              <w:t xml:space="preserve">the </w:t>
            </w:r>
            <w:r w:rsidRPr="002C1C62">
              <w:rPr>
                <w:rFonts w:asciiTheme="majorHAnsi" w:hAnsiTheme="majorHAnsi"/>
                <w:color w:val="2F2B20" w:themeColor="background1"/>
              </w:rPr>
              <w:t xml:space="preserve">DVC: Research and </w:t>
            </w:r>
            <w:r w:rsidR="00076DE9" w:rsidRPr="002C1C62">
              <w:rPr>
                <w:rFonts w:asciiTheme="majorHAnsi" w:hAnsiTheme="majorHAnsi"/>
                <w:color w:val="2F2B20" w:themeColor="background1"/>
              </w:rPr>
              <w:t xml:space="preserve">the </w:t>
            </w:r>
            <w:r w:rsidRPr="002C1C62">
              <w:rPr>
                <w:rFonts w:asciiTheme="majorHAnsi" w:hAnsiTheme="majorHAnsi"/>
                <w:color w:val="2F2B20" w:themeColor="background1"/>
              </w:rPr>
              <w:t>relevant Dean</w:t>
            </w:r>
            <w:r w:rsidR="00076DE9" w:rsidRPr="002C1C62">
              <w:rPr>
                <w:rFonts w:asciiTheme="majorHAnsi" w:hAnsiTheme="majorHAnsi"/>
                <w:color w:val="2F2B20" w:themeColor="background1"/>
              </w:rPr>
              <w:t xml:space="preserve"> before any candidate is registered into such an offering.</w:t>
            </w:r>
          </w:p>
        </w:tc>
      </w:tr>
    </w:tbl>
    <w:p w14:paraId="3849BCAA" w14:textId="77777777" w:rsidR="009118F8" w:rsidRPr="002C1C62" w:rsidRDefault="009118F8" w:rsidP="002B2C32">
      <w:pPr>
        <w:spacing w:before="80" w:after="80"/>
        <w:rPr>
          <w:rFonts w:asciiTheme="majorHAnsi" w:hAnsiTheme="majorHAnsi"/>
          <w:color w:val="2F2B20" w:themeColor="background1"/>
        </w:rPr>
      </w:pPr>
    </w:p>
    <w:p w14:paraId="7FD79A0C" w14:textId="77777777" w:rsidR="00D8231D" w:rsidRPr="002C1C62" w:rsidRDefault="009118F8" w:rsidP="002B2C32">
      <w:pPr>
        <w:spacing w:before="80" w:after="80"/>
        <w:rPr>
          <w:rFonts w:asciiTheme="majorHAnsi" w:hAnsiTheme="majorHAnsi"/>
          <w:b/>
          <w:color w:val="2F2B20" w:themeColor="background1"/>
        </w:rPr>
      </w:pPr>
      <w:r w:rsidRPr="002C1C62">
        <w:rPr>
          <w:rFonts w:asciiTheme="majorHAnsi" w:hAnsiTheme="majorHAnsi"/>
          <w:b/>
          <w:color w:val="2F2B20" w:themeColor="background1"/>
        </w:rPr>
        <w:t xml:space="preserve">ROLES AND </w:t>
      </w:r>
      <w:r w:rsidR="00D8231D" w:rsidRPr="002C1C62">
        <w:rPr>
          <w:rFonts w:asciiTheme="majorHAnsi" w:hAnsiTheme="majorHAnsi"/>
          <w:b/>
          <w:color w:val="2F2B20" w:themeColor="background1"/>
        </w:rPr>
        <w:t>RESPONSIBILITIES</w:t>
      </w:r>
    </w:p>
    <w:p w14:paraId="0D3DCBD4" w14:textId="77777777" w:rsidR="00D8231D" w:rsidRPr="002C1C62" w:rsidRDefault="006A38DB" w:rsidP="002B2C32">
      <w:pPr>
        <w:spacing w:before="80" w:after="80"/>
        <w:rPr>
          <w:rFonts w:asciiTheme="majorHAnsi" w:hAnsiTheme="majorHAnsi"/>
          <w:color w:val="2F2B20" w:themeColor="background1"/>
        </w:rPr>
      </w:pPr>
      <w:r w:rsidRPr="002C1C62">
        <w:rPr>
          <w:rFonts w:asciiTheme="majorHAnsi" w:hAnsiTheme="majorHAnsi"/>
          <w:color w:val="2F2B20" w:themeColor="background1"/>
        </w:rPr>
        <w:t>(</w:t>
      </w:r>
      <w:r w:rsidR="009118F8" w:rsidRPr="002C1C62">
        <w:rPr>
          <w:rFonts w:asciiTheme="majorHAnsi" w:hAnsiTheme="majorHAnsi"/>
          <w:color w:val="2F2B20" w:themeColor="background1"/>
        </w:rPr>
        <w:t>Roles and responsibilities of Key personal/Divisions/Faculties/Departments</w:t>
      </w:r>
      <w:r w:rsidRPr="002C1C62">
        <w:rPr>
          <w:rFonts w:asciiTheme="majorHAnsi" w:hAnsiTheme="majorHAnsi"/>
          <w:color w:val="2F2B20" w:themeColor="background1"/>
        </w:rPr>
        <w:t>)</w:t>
      </w:r>
    </w:p>
    <w:tbl>
      <w:tblPr>
        <w:tblStyle w:val="TableGrid"/>
        <w:tblW w:w="9968" w:type="dxa"/>
        <w:tblInd w:w="-318" w:type="dxa"/>
        <w:tblLayout w:type="fixed"/>
        <w:tblLook w:val="04A0" w:firstRow="1" w:lastRow="0" w:firstColumn="1" w:lastColumn="0" w:noHBand="0" w:noVBand="1"/>
      </w:tblPr>
      <w:tblGrid>
        <w:gridCol w:w="2023"/>
        <w:gridCol w:w="7945"/>
      </w:tblGrid>
      <w:tr w:rsidR="002C1C62" w:rsidRPr="002C1C62" w14:paraId="6DB5E84D" w14:textId="77777777" w:rsidTr="006A38DB">
        <w:trPr>
          <w:trHeight w:val="747"/>
        </w:trPr>
        <w:tc>
          <w:tcPr>
            <w:tcW w:w="2023" w:type="dxa"/>
          </w:tcPr>
          <w:p w14:paraId="16C13519" w14:textId="77777777" w:rsidR="00D8231D" w:rsidRPr="002C1C62" w:rsidRDefault="00D8231D" w:rsidP="002B2C32">
            <w:pPr>
              <w:widowControl w:val="0"/>
              <w:spacing w:before="80" w:after="80"/>
              <w:rPr>
                <w:rFonts w:asciiTheme="majorHAnsi" w:hAnsiTheme="majorHAnsi"/>
                <w:b/>
                <w:color w:val="2F2B20" w:themeColor="background1"/>
              </w:rPr>
            </w:pPr>
            <w:r w:rsidRPr="002C1C62">
              <w:rPr>
                <w:rFonts w:asciiTheme="majorHAnsi" w:hAnsiTheme="majorHAnsi"/>
                <w:b/>
                <w:color w:val="2F2B20" w:themeColor="background1"/>
              </w:rPr>
              <w:t xml:space="preserve">ROLE </w:t>
            </w:r>
          </w:p>
        </w:tc>
        <w:tc>
          <w:tcPr>
            <w:tcW w:w="7945" w:type="dxa"/>
          </w:tcPr>
          <w:p w14:paraId="0D1EB296" w14:textId="77777777" w:rsidR="00D8231D" w:rsidRPr="002C1C62" w:rsidRDefault="00D8231D" w:rsidP="002B2C32">
            <w:pPr>
              <w:widowControl w:val="0"/>
              <w:spacing w:before="80" w:after="80"/>
              <w:rPr>
                <w:rFonts w:asciiTheme="majorHAnsi" w:hAnsiTheme="majorHAnsi"/>
                <w:b/>
                <w:color w:val="2F2B20" w:themeColor="background1"/>
              </w:rPr>
            </w:pPr>
            <w:r w:rsidRPr="002C1C62">
              <w:rPr>
                <w:rFonts w:asciiTheme="majorHAnsi" w:hAnsiTheme="majorHAnsi"/>
                <w:b/>
                <w:color w:val="2F2B20" w:themeColor="background1"/>
              </w:rPr>
              <w:t>RESPONSIBILITY</w:t>
            </w:r>
          </w:p>
        </w:tc>
      </w:tr>
      <w:tr w:rsidR="002C1C62" w:rsidRPr="002C1C62" w14:paraId="3BA8AE7B" w14:textId="77777777" w:rsidTr="006A38DB">
        <w:trPr>
          <w:trHeight w:val="747"/>
        </w:trPr>
        <w:tc>
          <w:tcPr>
            <w:tcW w:w="2023" w:type="dxa"/>
          </w:tcPr>
          <w:p w14:paraId="769DBA92" w14:textId="77777777" w:rsidR="00D8231D" w:rsidRPr="002C1C62" w:rsidRDefault="00D8231D" w:rsidP="002B2C32">
            <w:pPr>
              <w:widowControl w:val="0"/>
              <w:spacing w:before="80" w:after="80"/>
              <w:rPr>
                <w:rFonts w:asciiTheme="majorHAnsi" w:hAnsiTheme="majorHAnsi"/>
                <w:b/>
                <w:color w:val="2F2B20" w:themeColor="background1"/>
              </w:rPr>
            </w:pPr>
            <w:r w:rsidRPr="002C1C62">
              <w:rPr>
                <w:rFonts w:asciiTheme="majorHAnsi" w:hAnsiTheme="majorHAnsi"/>
                <w:b/>
                <w:color w:val="2F2B20" w:themeColor="background1"/>
              </w:rPr>
              <w:t>ROLE 1</w:t>
            </w:r>
          </w:p>
          <w:p w14:paraId="1C0B62C2" w14:textId="77777777" w:rsidR="00D8231D" w:rsidRPr="002C1C62" w:rsidRDefault="00D8231D" w:rsidP="002B2C32">
            <w:pPr>
              <w:widowControl w:val="0"/>
              <w:spacing w:before="80" w:after="80"/>
              <w:rPr>
                <w:rFonts w:asciiTheme="majorHAnsi" w:hAnsiTheme="majorHAnsi"/>
                <w:b/>
                <w:color w:val="2F2B20" w:themeColor="background1"/>
              </w:rPr>
            </w:pPr>
          </w:p>
        </w:tc>
        <w:tc>
          <w:tcPr>
            <w:tcW w:w="7945" w:type="dxa"/>
          </w:tcPr>
          <w:p w14:paraId="7BD87FB8" w14:textId="7315C031" w:rsidR="007E0BA9" w:rsidRPr="002C1C62" w:rsidRDefault="007958C9" w:rsidP="00FA0749">
            <w:pPr>
              <w:widowControl w:val="0"/>
              <w:spacing w:before="80" w:after="80"/>
              <w:rPr>
                <w:rFonts w:asciiTheme="majorHAnsi" w:hAnsiTheme="majorHAnsi"/>
                <w:b/>
                <w:color w:val="2F2B20" w:themeColor="background1"/>
              </w:rPr>
            </w:pPr>
            <w:r w:rsidRPr="002C1C62">
              <w:rPr>
                <w:rFonts w:asciiTheme="majorHAnsi" w:hAnsiTheme="majorHAnsi"/>
                <w:b/>
                <w:color w:val="2F2B20" w:themeColor="background1"/>
              </w:rPr>
              <w:t>Supervisor</w:t>
            </w:r>
            <w:r w:rsidR="00FA0749" w:rsidRPr="002C1C62">
              <w:rPr>
                <w:rFonts w:asciiTheme="majorHAnsi" w:hAnsiTheme="majorHAnsi"/>
                <w:b/>
                <w:color w:val="2F2B20" w:themeColor="background1"/>
              </w:rPr>
              <w:t>, Co-supervisor, Supervisory Team</w:t>
            </w:r>
          </w:p>
        </w:tc>
      </w:tr>
      <w:tr w:rsidR="002C1C62" w:rsidRPr="002C1C62" w14:paraId="3D993DBD" w14:textId="77777777" w:rsidTr="00AC1BB2">
        <w:trPr>
          <w:trHeight w:val="747"/>
        </w:trPr>
        <w:tc>
          <w:tcPr>
            <w:tcW w:w="9968" w:type="dxa"/>
            <w:gridSpan w:val="2"/>
          </w:tcPr>
          <w:p w14:paraId="2B6BCE86" w14:textId="2413F039" w:rsidR="0069759D" w:rsidRPr="002C1C62" w:rsidRDefault="0069759D" w:rsidP="00090233">
            <w:pPr>
              <w:pStyle w:val="ListParagraph"/>
              <w:numPr>
                <w:ilvl w:val="0"/>
                <w:numId w:val="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609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80"/>
              <w:rPr>
                <w:rFonts w:asciiTheme="majorHAnsi" w:hAnsiTheme="majorHAnsi"/>
                <w:color w:val="2F2B20" w:themeColor="background1"/>
              </w:rPr>
            </w:pPr>
            <w:r w:rsidRPr="002C1C62">
              <w:rPr>
                <w:rFonts w:asciiTheme="majorHAnsi" w:hAnsiTheme="majorHAnsi"/>
                <w:color w:val="2F2B20" w:themeColor="background1"/>
              </w:rPr>
              <w:t>The supervisor is expected to be familiar with this HDR supervision policy and with the Higher Degrees Guide, along with the administrative regulations pertainin</w:t>
            </w:r>
            <w:r w:rsidR="008C5230">
              <w:rPr>
                <w:rFonts w:asciiTheme="majorHAnsi" w:hAnsiTheme="majorHAnsi"/>
                <w:color w:val="2F2B20" w:themeColor="background1"/>
              </w:rPr>
              <w:t>g to Higher Degrees by Research, and any Faculty specific rules and processes;</w:t>
            </w:r>
          </w:p>
          <w:p w14:paraId="16D94088" w14:textId="5C535A29" w:rsidR="00860835" w:rsidRPr="002C1C62" w:rsidRDefault="008C5230" w:rsidP="00090233">
            <w:pPr>
              <w:pStyle w:val="ListParagraph"/>
              <w:numPr>
                <w:ilvl w:val="0"/>
                <w:numId w:val="2"/>
              </w:numPr>
              <w:spacing w:before="80" w:after="80"/>
              <w:rPr>
                <w:rFonts w:asciiTheme="majorHAnsi" w:hAnsiTheme="majorHAnsi"/>
                <w:color w:val="2F2B20" w:themeColor="background1"/>
              </w:rPr>
            </w:pPr>
            <w:r>
              <w:rPr>
                <w:rFonts w:asciiTheme="majorHAnsi" w:hAnsiTheme="majorHAnsi"/>
                <w:color w:val="2F2B20" w:themeColor="background1"/>
              </w:rPr>
              <w:t>The supervisor’s responsibilitie</w:t>
            </w:r>
            <w:r w:rsidR="00860835" w:rsidRPr="002C1C62">
              <w:rPr>
                <w:rFonts w:asciiTheme="majorHAnsi" w:hAnsiTheme="majorHAnsi"/>
                <w:color w:val="2F2B20" w:themeColor="background1"/>
              </w:rPr>
              <w:t>s before the project begins, during the course of the project, and at the conclusion of the project are set out in detail</w:t>
            </w:r>
            <w:r w:rsidR="00E737B9" w:rsidRPr="002C1C62">
              <w:rPr>
                <w:rFonts w:asciiTheme="majorHAnsi" w:hAnsiTheme="majorHAnsi"/>
                <w:color w:val="2F2B20" w:themeColor="background1"/>
              </w:rPr>
              <w:t xml:space="preserve"> i</w:t>
            </w:r>
            <w:r w:rsidR="009C7522">
              <w:rPr>
                <w:rFonts w:asciiTheme="majorHAnsi" w:hAnsiTheme="majorHAnsi"/>
                <w:color w:val="2F2B20" w:themeColor="background1"/>
              </w:rPr>
              <w:t>n the Higher Degrees Guide, and these include overseeing ethical considerations and ensuring that ethical clearance for the project is attained as necessary;</w:t>
            </w:r>
          </w:p>
          <w:p w14:paraId="7B86D1E5" w14:textId="38363D76" w:rsidR="000F0D33" w:rsidRPr="002C1C62" w:rsidRDefault="00E737B9" w:rsidP="00090233">
            <w:pPr>
              <w:pStyle w:val="ListParagraph"/>
              <w:numPr>
                <w:ilvl w:val="0"/>
                <w:numId w:val="2"/>
              </w:numPr>
              <w:spacing w:before="80" w:after="80"/>
              <w:rPr>
                <w:rFonts w:asciiTheme="majorHAnsi" w:hAnsiTheme="majorHAnsi"/>
                <w:color w:val="2F2B20" w:themeColor="background1"/>
              </w:rPr>
            </w:pPr>
            <w:r w:rsidRPr="002C1C62">
              <w:rPr>
                <w:rFonts w:asciiTheme="majorHAnsi" w:hAnsiTheme="majorHAnsi"/>
                <w:color w:val="2F2B20" w:themeColor="background1"/>
              </w:rPr>
              <w:t>The supervisor</w:t>
            </w:r>
            <w:r w:rsidR="00FA0749" w:rsidRPr="002C1C62">
              <w:rPr>
                <w:rFonts w:asciiTheme="majorHAnsi" w:hAnsiTheme="majorHAnsi"/>
                <w:color w:val="2F2B20" w:themeColor="background1"/>
              </w:rPr>
              <w:t>/supervisory team</w:t>
            </w:r>
            <w:r w:rsidRPr="002C1C62">
              <w:rPr>
                <w:rFonts w:asciiTheme="majorHAnsi" w:hAnsiTheme="majorHAnsi"/>
                <w:color w:val="2F2B20" w:themeColor="background1"/>
              </w:rPr>
              <w:t xml:space="preserve"> is expected to discuss with the candidate the roles of supervisor and candidate as set out in the Higher Degrees Guide and to explicitly discuss how they will work together for t</w:t>
            </w:r>
            <w:r w:rsidR="000F0D33" w:rsidRPr="002C1C62">
              <w:rPr>
                <w:rFonts w:asciiTheme="majorHAnsi" w:hAnsiTheme="majorHAnsi"/>
                <w:color w:val="2F2B20" w:themeColor="background1"/>
              </w:rPr>
              <w:t>he duration of the project. A record of this agreement should be kept in whatever form is considered most appropriate.</w:t>
            </w:r>
            <w:r w:rsidR="00FA0749" w:rsidRPr="002C1C62">
              <w:rPr>
                <w:rFonts w:asciiTheme="majorHAnsi" w:hAnsiTheme="majorHAnsi"/>
                <w:color w:val="2F2B20" w:themeColor="background1"/>
              </w:rPr>
              <w:t xml:space="preserve"> The candidate and supervisor/s should have access to this document. The</w:t>
            </w:r>
            <w:r w:rsidR="000F0D33" w:rsidRPr="002C1C62">
              <w:rPr>
                <w:rFonts w:asciiTheme="majorHAnsi" w:hAnsiTheme="majorHAnsi"/>
                <w:color w:val="2F2B20" w:themeColor="background1"/>
              </w:rPr>
              <w:t xml:space="preserve"> discussion and subsequent agreement should</w:t>
            </w:r>
            <w:r w:rsidR="00E56994">
              <w:rPr>
                <w:rFonts w:asciiTheme="majorHAnsi" w:hAnsiTheme="majorHAnsi"/>
                <w:color w:val="2F2B20" w:themeColor="background1"/>
              </w:rPr>
              <w:t>, depending on relevance, include an</w:t>
            </w:r>
            <w:r w:rsidR="000F0D33" w:rsidRPr="002C1C62">
              <w:rPr>
                <w:rFonts w:asciiTheme="majorHAnsi" w:hAnsiTheme="majorHAnsi"/>
                <w:color w:val="2F2B20" w:themeColor="background1"/>
              </w:rPr>
              <w:t xml:space="preserve"> articulation of: </w:t>
            </w:r>
          </w:p>
          <w:p w14:paraId="07ABB8B2" w14:textId="31B88C3F" w:rsidR="000F0D33" w:rsidRPr="002C1C62" w:rsidRDefault="000F0D33" w:rsidP="00090233">
            <w:pPr>
              <w:pStyle w:val="ListParagraph"/>
              <w:numPr>
                <w:ilvl w:val="0"/>
                <w:numId w:val="1"/>
              </w:numPr>
              <w:spacing w:before="80" w:after="80"/>
              <w:rPr>
                <w:rFonts w:asciiTheme="majorHAnsi" w:hAnsiTheme="majorHAnsi"/>
                <w:color w:val="2F2B20" w:themeColor="background1"/>
              </w:rPr>
            </w:pPr>
            <w:r w:rsidRPr="002C1C62">
              <w:rPr>
                <w:rFonts w:asciiTheme="majorHAnsi" w:hAnsiTheme="majorHAnsi"/>
                <w:color w:val="2F2B20" w:themeColor="background1"/>
              </w:rPr>
              <w:t>The roles of the various supervisors, co-supervisors or project team members, depending on the model of HDR being used;</w:t>
            </w:r>
            <w:r w:rsidR="00FA0749" w:rsidRPr="002C1C62">
              <w:rPr>
                <w:rFonts w:asciiTheme="majorHAnsi" w:hAnsiTheme="majorHAnsi"/>
                <w:color w:val="2F2B20" w:themeColor="background1"/>
              </w:rPr>
              <w:t xml:space="preserve"> in the case where there are co-supervisors, supervisory teams or project supervision, there needs to be agreement as to the roles each member plays, including such aspects as who attends meetings, who coordinates and attends seminars and workshops, who provides feedback on laboratory or field work, who provides feedback on written work, and so on;</w:t>
            </w:r>
          </w:p>
          <w:p w14:paraId="298140D2" w14:textId="285DBC67" w:rsidR="000F0D33" w:rsidRPr="002C1C62" w:rsidRDefault="000F0D33" w:rsidP="00090233">
            <w:pPr>
              <w:pStyle w:val="ListParagraph"/>
              <w:numPr>
                <w:ilvl w:val="0"/>
                <w:numId w:val="1"/>
              </w:numPr>
              <w:spacing w:before="80" w:after="80"/>
              <w:rPr>
                <w:rFonts w:asciiTheme="majorHAnsi" w:hAnsiTheme="majorHAnsi"/>
                <w:color w:val="2F2B20" w:themeColor="background1"/>
              </w:rPr>
            </w:pPr>
            <w:r w:rsidRPr="002C1C62">
              <w:rPr>
                <w:rFonts w:asciiTheme="majorHAnsi" w:hAnsiTheme="majorHAnsi"/>
                <w:color w:val="2F2B20" w:themeColor="background1"/>
              </w:rPr>
              <w:t xml:space="preserve">How often the </w:t>
            </w:r>
            <w:r w:rsidR="00553A65" w:rsidRPr="002C1C62">
              <w:rPr>
                <w:rFonts w:asciiTheme="majorHAnsi" w:hAnsiTheme="majorHAnsi"/>
                <w:color w:val="2F2B20" w:themeColor="background1"/>
              </w:rPr>
              <w:t>HDR candidate and supervisor/</w:t>
            </w:r>
            <w:r w:rsidRPr="002C1C62">
              <w:rPr>
                <w:rFonts w:asciiTheme="majorHAnsi" w:hAnsiTheme="majorHAnsi"/>
                <w:color w:val="2F2B20" w:themeColor="background1"/>
              </w:rPr>
              <w:t xml:space="preserve">supervision team will meet, who sets the meetings, what </w:t>
            </w:r>
            <w:r w:rsidR="0069759D" w:rsidRPr="002C1C62">
              <w:rPr>
                <w:rFonts w:asciiTheme="majorHAnsi" w:hAnsiTheme="majorHAnsi"/>
                <w:color w:val="2F2B20" w:themeColor="background1"/>
              </w:rPr>
              <w:t>form</w:t>
            </w:r>
            <w:r w:rsidRPr="002C1C62">
              <w:rPr>
                <w:rFonts w:asciiTheme="majorHAnsi" w:hAnsiTheme="majorHAnsi"/>
                <w:color w:val="2F2B20" w:themeColor="background1"/>
              </w:rPr>
              <w:t xml:space="preserve"> such meetings will take;</w:t>
            </w:r>
          </w:p>
          <w:p w14:paraId="531BC017" w14:textId="3AA8C1A2" w:rsidR="000F0D33" w:rsidRPr="002C1C62" w:rsidRDefault="000F0D33" w:rsidP="00090233">
            <w:pPr>
              <w:pStyle w:val="ListParagraph"/>
              <w:numPr>
                <w:ilvl w:val="0"/>
                <w:numId w:val="1"/>
              </w:numPr>
              <w:spacing w:before="80" w:after="80"/>
              <w:rPr>
                <w:rFonts w:asciiTheme="majorHAnsi" w:hAnsiTheme="majorHAnsi"/>
                <w:color w:val="2F2B20" w:themeColor="background1"/>
              </w:rPr>
            </w:pPr>
            <w:r w:rsidRPr="002C1C62">
              <w:rPr>
                <w:rFonts w:asciiTheme="majorHAnsi" w:hAnsiTheme="majorHAnsi"/>
                <w:color w:val="2F2B20" w:themeColor="background1"/>
              </w:rPr>
              <w:t>Notional hours for the qualification and thereby the expectations on the candidate, including expectations regarding the development of academic writing norms;</w:t>
            </w:r>
          </w:p>
          <w:p w14:paraId="4E2D2F07" w14:textId="2F117617" w:rsidR="000F0D33" w:rsidRPr="002C1C62" w:rsidRDefault="000F0D33" w:rsidP="00090233">
            <w:pPr>
              <w:pStyle w:val="ListParagraph"/>
              <w:numPr>
                <w:ilvl w:val="0"/>
                <w:numId w:val="1"/>
              </w:numPr>
              <w:spacing w:before="80" w:after="80"/>
              <w:rPr>
                <w:rFonts w:asciiTheme="majorHAnsi" w:hAnsiTheme="majorHAnsi"/>
                <w:color w:val="2F2B20" w:themeColor="background1"/>
              </w:rPr>
            </w:pPr>
            <w:r w:rsidRPr="002C1C62">
              <w:rPr>
                <w:rFonts w:asciiTheme="majorHAnsi" w:hAnsiTheme="majorHAnsi"/>
                <w:color w:val="2F2B20" w:themeColor="background1"/>
              </w:rPr>
              <w:t xml:space="preserve">The form of feedback that will be given on the candidate’s work, by whom, and how long they should </w:t>
            </w:r>
            <w:r w:rsidR="0069759D" w:rsidRPr="002C1C62">
              <w:rPr>
                <w:rFonts w:asciiTheme="majorHAnsi" w:hAnsiTheme="majorHAnsi"/>
                <w:color w:val="2F2B20" w:themeColor="background1"/>
              </w:rPr>
              <w:t xml:space="preserve">be expected to </w:t>
            </w:r>
            <w:r w:rsidRPr="002C1C62">
              <w:rPr>
                <w:rFonts w:asciiTheme="majorHAnsi" w:hAnsiTheme="majorHAnsi"/>
                <w:color w:val="2F2B20" w:themeColor="background1"/>
              </w:rPr>
              <w:t>wait for such feedback;</w:t>
            </w:r>
          </w:p>
          <w:p w14:paraId="2B2BEB57" w14:textId="5FD23897" w:rsidR="000F0D33" w:rsidRPr="002C1C62" w:rsidRDefault="000F0D33" w:rsidP="00090233">
            <w:pPr>
              <w:pStyle w:val="ListParagraph"/>
              <w:numPr>
                <w:ilvl w:val="0"/>
                <w:numId w:val="1"/>
              </w:numPr>
              <w:spacing w:before="80" w:after="80"/>
              <w:rPr>
                <w:rFonts w:asciiTheme="majorHAnsi" w:hAnsiTheme="majorHAnsi"/>
                <w:color w:val="2F2B20" w:themeColor="background1"/>
              </w:rPr>
            </w:pPr>
            <w:r w:rsidRPr="002C1C62">
              <w:rPr>
                <w:rFonts w:asciiTheme="majorHAnsi" w:hAnsiTheme="majorHAnsi"/>
                <w:color w:val="2F2B20" w:themeColor="background1"/>
              </w:rPr>
              <w:t xml:space="preserve">Publication possibilities and expectations and what the arrangements will be regarding authorship, co-authorship and the order of authors </w:t>
            </w:r>
            <w:r w:rsidR="00470432" w:rsidRPr="002C1C62">
              <w:rPr>
                <w:rFonts w:asciiTheme="majorHAnsi" w:hAnsiTheme="majorHAnsi"/>
                <w:color w:val="2F2B20" w:themeColor="background1"/>
              </w:rPr>
              <w:t xml:space="preserve">named </w:t>
            </w:r>
            <w:r w:rsidRPr="002C1C62">
              <w:rPr>
                <w:rFonts w:asciiTheme="majorHAnsi" w:hAnsiTheme="majorHAnsi"/>
                <w:color w:val="2F2B20" w:themeColor="background1"/>
              </w:rPr>
              <w:t>on any publications emerging from the research;</w:t>
            </w:r>
          </w:p>
          <w:p w14:paraId="027B7C09" w14:textId="39A6652E" w:rsidR="000F0D33" w:rsidRPr="002C1C62" w:rsidRDefault="000F0D33" w:rsidP="00090233">
            <w:pPr>
              <w:pStyle w:val="ListParagraph"/>
              <w:numPr>
                <w:ilvl w:val="0"/>
                <w:numId w:val="1"/>
              </w:numPr>
              <w:spacing w:before="80" w:after="80"/>
              <w:rPr>
                <w:rFonts w:asciiTheme="majorHAnsi" w:hAnsiTheme="majorHAnsi"/>
                <w:color w:val="2F2B20" w:themeColor="background1"/>
              </w:rPr>
            </w:pPr>
            <w:r w:rsidRPr="002C1C62">
              <w:rPr>
                <w:rFonts w:asciiTheme="majorHAnsi" w:hAnsiTheme="majorHAnsi"/>
                <w:color w:val="2F2B20" w:themeColor="background1"/>
              </w:rPr>
              <w:t xml:space="preserve">Most importantly, the discussion </w:t>
            </w:r>
            <w:r w:rsidR="00FA0749" w:rsidRPr="002C1C62">
              <w:rPr>
                <w:rFonts w:asciiTheme="majorHAnsi" w:hAnsiTheme="majorHAnsi"/>
                <w:color w:val="2F2B20" w:themeColor="background1"/>
              </w:rPr>
              <w:t xml:space="preserve">and subsequent agreement </w:t>
            </w:r>
            <w:r w:rsidR="0069759D" w:rsidRPr="002C1C62">
              <w:rPr>
                <w:rFonts w:asciiTheme="majorHAnsi" w:hAnsiTheme="majorHAnsi"/>
                <w:color w:val="2F2B20" w:themeColor="background1"/>
              </w:rPr>
              <w:t>should</w:t>
            </w:r>
            <w:r w:rsidR="00FA0749" w:rsidRPr="002C1C62">
              <w:rPr>
                <w:rFonts w:asciiTheme="majorHAnsi" w:hAnsiTheme="majorHAnsi"/>
                <w:color w:val="2F2B20" w:themeColor="background1"/>
              </w:rPr>
              <w:t xml:space="preserve"> specify the</w:t>
            </w:r>
            <w:r w:rsidRPr="002C1C62">
              <w:rPr>
                <w:rFonts w:asciiTheme="majorHAnsi" w:hAnsiTheme="majorHAnsi"/>
                <w:color w:val="2F2B20" w:themeColor="background1"/>
              </w:rPr>
              <w:t xml:space="preserve"> </w:t>
            </w:r>
            <w:r w:rsidR="00FA0749" w:rsidRPr="002C1C62">
              <w:rPr>
                <w:rFonts w:asciiTheme="majorHAnsi" w:hAnsiTheme="majorHAnsi"/>
                <w:color w:val="2F2B20" w:themeColor="background1"/>
              </w:rPr>
              <w:t>planned progress with clear progress targets.</w:t>
            </w:r>
          </w:p>
          <w:p w14:paraId="122C7891" w14:textId="77777777" w:rsidR="007958C9" w:rsidRDefault="00FA0749" w:rsidP="00090233">
            <w:pPr>
              <w:pStyle w:val="ListParagraph"/>
              <w:numPr>
                <w:ilvl w:val="0"/>
                <w:numId w:val="2"/>
              </w:numPr>
              <w:spacing w:before="80" w:after="80"/>
              <w:rPr>
                <w:rFonts w:asciiTheme="majorHAnsi" w:hAnsiTheme="majorHAnsi"/>
                <w:color w:val="2F2B20" w:themeColor="background1"/>
              </w:rPr>
            </w:pPr>
            <w:r w:rsidRPr="002C1C62">
              <w:rPr>
                <w:rFonts w:asciiTheme="majorHAnsi" w:hAnsiTheme="majorHAnsi"/>
                <w:color w:val="2F2B20" w:themeColor="background1"/>
              </w:rPr>
              <w:t>The supervisor has a responsibility to provide opportunities for and information about events (for example seminars, workshops and short courses) that would enable the collective development of the HDR scholar and strengthen the research culture in the institution.</w:t>
            </w:r>
          </w:p>
          <w:p w14:paraId="4E94CD6A" w14:textId="3B4EAA41" w:rsidR="00CF0580" w:rsidRPr="00820408" w:rsidRDefault="00CF0580" w:rsidP="00820408">
            <w:pPr>
              <w:pStyle w:val="ListParagraph"/>
              <w:numPr>
                <w:ilvl w:val="0"/>
                <w:numId w:val="2"/>
              </w:numPr>
              <w:spacing w:before="80" w:after="80"/>
              <w:rPr>
                <w:rFonts w:asciiTheme="majorHAnsi" w:hAnsiTheme="majorHAnsi"/>
                <w:color w:val="2F2B20" w:themeColor="background1"/>
              </w:rPr>
            </w:pPr>
            <w:r>
              <w:rPr>
                <w:rFonts w:asciiTheme="majorHAnsi" w:hAnsiTheme="majorHAnsi"/>
                <w:color w:val="2F2B20" w:themeColor="background1"/>
              </w:rPr>
              <w:t>The supervisor has a responsibility to inform the Head of Department of any conflict of interest that might arise in their relationship with the candidate.</w:t>
            </w:r>
            <w:r w:rsidR="00CF59A3">
              <w:rPr>
                <w:rFonts w:asciiTheme="majorHAnsi" w:hAnsiTheme="majorHAnsi"/>
                <w:color w:val="2F2B20" w:themeColor="background1"/>
              </w:rPr>
              <w:t xml:space="preserve"> The supervision relationship is </w:t>
            </w:r>
            <w:r w:rsidR="004049D4">
              <w:rPr>
                <w:rFonts w:asciiTheme="majorHAnsi" w:hAnsiTheme="majorHAnsi"/>
                <w:color w:val="2F2B20" w:themeColor="background1"/>
              </w:rPr>
              <w:t xml:space="preserve">also </w:t>
            </w:r>
            <w:r w:rsidR="00CF59A3">
              <w:rPr>
                <w:rFonts w:asciiTheme="majorHAnsi" w:hAnsiTheme="majorHAnsi"/>
                <w:color w:val="2F2B20" w:themeColor="background1"/>
              </w:rPr>
              <w:t xml:space="preserve">guided by the </w:t>
            </w:r>
            <w:r w:rsidR="005F69DD">
              <w:rPr>
                <w:rFonts w:asciiTheme="majorHAnsi" w:hAnsiTheme="majorHAnsi"/>
                <w:color w:val="2F2B20" w:themeColor="background1"/>
              </w:rPr>
              <w:t>“</w:t>
            </w:r>
            <w:r w:rsidR="00CF59A3">
              <w:rPr>
                <w:rFonts w:asciiTheme="majorHAnsi" w:hAnsiTheme="majorHAnsi"/>
                <w:color w:val="2F2B20" w:themeColor="background1"/>
              </w:rPr>
              <w:t xml:space="preserve">Protocol on Managing of Close </w:t>
            </w:r>
            <w:r w:rsidR="00820408">
              <w:rPr>
                <w:rFonts w:asciiTheme="majorHAnsi" w:hAnsiTheme="majorHAnsi"/>
                <w:color w:val="2F2B20" w:themeColor="background1"/>
              </w:rPr>
              <w:t xml:space="preserve">Relationships between </w:t>
            </w:r>
            <w:r w:rsidR="005F69DD">
              <w:rPr>
                <w:rFonts w:asciiTheme="majorHAnsi" w:hAnsiTheme="majorHAnsi"/>
                <w:color w:val="2F2B20" w:themeColor="background1"/>
              </w:rPr>
              <w:t>Staff and Students and between S</w:t>
            </w:r>
            <w:r w:rsidR="00820408">
              <w:rPr>
                <w:rFonts w:asciiTheme="majorHAnsi" w:hAnsiTheme="majorHAnsi"/>
                <w:color w:val="2F2B20" w:themeColor="background1"/>
              </w:rPr>
              <w:t>taff</w:t>
            </w:r>
            <w:r w:rsidR="005F69DD">
              <w:rPr>
                <w:rFonts w:asciiTheme="majorHAnsi" w:hAnsiTheme="majorHAnsi"/>
                <w:color w:val="2F2B20" w:themeColor="background1"/>
              </w:rPr>
              <w:t>”</w:t>
            </w:r>
            <w:r w:rsidR="00820408">
              <w:rPr>
                <w:rFonts w:asciiTheme="majorHAnsi" w:hAnsiTheme="majorHAnsi"/>
                <w:color w:val="2F2B20" w:themeColor="background1"/>
              </w:rPr>
              <w:t>.</w:t>
            </w:r>
          </w:p>
        </w:tc>
      </w:tr>
      <w:tr w:rsidR="002C1C62" w:rsidRPr="002C1C62" w14:paraId="06F36AA3" w14:textId="77777777" w:rsidTr="006A38DB">
        <w:trPr>
          <w:trHeight w:val="747"/>
        </w:trPr>
        <w:tc>
          <w:tcPr>
            <w:tcW w:w="2023" w:type="dxa"/>
          </w:tcPr>
          <w:p w14:paraId="513A693E" w14:textId="77777777" w:rsidR="007E0BA9" w:rsidRPr="002C1C62" w:rsidRDefault="007E0BA9" w:rsidP="002B2C32">
            <w:pPr>
              <w:widowControl w:val="0"/>
              <w:spacing w:before="80" w:after="80"/>
              <w:rPr>
                <w:rFonts w:asciiTheme="majorHAnsi" w:hAnsiTheme="majorHAnsi"/>
                <w:b/>
                <w:color w:val="2F2B20" w:themeColor="background1"/>
              </w:rPr>
            </w:pPr>
            <w:r w:rsidRPr="002C1C62">
              <w:rPr>
                <w:rFonts w:asciiTheme="majorHAnsi" w:hAnsiTheme="majorHAnsi"/>
                <w:b/>
                <w:color w:val="2F2B20" w:themeColor="background1"/>
              </w:rPr>
              <w:t>ROLE 2</w:t>
            </w:r>
          </w:p>
          <w:p w14:paraId="48E45114" w14:textId="77777777" w:rsidR="007E0BA9" w:rsidRPr="002C1C62" w:rsidRDefault="007E0BA9" w:rsidP="002B2C32">
            <w:pPr>
              <w:widowControl w:val="0"/>
              <w:spacing w:before="80" w:after="80"/>
              <w:rPr>
                <w:rFonts w:asciiTheme="majorHAnsi" w:hAnsiTheme="majorHAnsi"/>
                <w:b/>
                <w:color w:val="2F2B20" w:themeColor="background1"/>
              </w:rPr>
            </w:pPr>
          </w:p>
        </w:tc>
        <w:tc>
          <w:tcPr>
            <w:tcW w:w="7945" w:type="dxa"/>
          </w:tcPr>
          <w:p w14:paraId="7A075922" w14:textId="2EE4A045" w:rsidR="003F7A63" w:rsidRPr="002C1C62" w:rsidRDefault="00553A65" w:rsidP="002C77D9">
            <w:pPr>
              <w:widowControl w:val="0"/>
              <w:spacing w:before="80" w:after="80"/>
              <w:rPr>
                <w:rFonts w:asciiTheme="majorHAnsi" w:hAnsiTheme="majorHAnsi"/>
                <w:b/>
                <w:color w:val="2F2B20" w:themeColor="background1"/>
              </w:rPr>
            </w:pPr>
            <w:r w:rsidRPr="002C1C62">
              <w:rPr>
                <w:rFonts w:asciiTheme="majorHAnsi" w:hAnsiTheme="majorHAnsi"/>
                <w:b/>
                <w:color w:val="2F2B20" w:themeColor="background1"/>
              </w:rPr>
              <w:t>Higher Degree by Research Candidate</w:t>
            </w:r>
          </w:p>
        </w:tc>
      </w:tr>
      <w:tr w:rsidR="002C1C62" w:rsidRPr="002C1C62" w14:paraId="2E6C8228" w14:textId="77777777" w:rsidTr="00AC1BB2">
        <w:trPr>
          <w:trHeight w:val="747"/>
        </w:trPr>
        <w:tc>
          <w:tcPr>
            <w:tcW w:w="9968" w:type="dxa"/>
            <w:gridSpan w:val="2"/>
          </w:tcPr>
          <w:p w14:paraId="68EEE206" w14:textId="77777777" w:rsidR="0069759D" w:rsidRPr="002C1C62" w:rsidRDefault="0069759D" w:rsidP="00090233">
            <w:pPr>
              <w:pStyle w:val="ListParagraph"/>
              <w:numPr>
                <w:ilvl w:val="0"/>
                <w:numId w:val="3"/>
              </w:numPr>
              <w:tabs>
                <w:tab w:val="left" w:pos="-1080"/>
                <w:tab w:val="left" w:pos="-720"/>
                <w:tab w:val="left" w:pos="0"/>
                <w:tab w:val="left" w:pos="709"/>
                <w:tab w:val="left" w:pos="1440"/>
                <w:tab w:val="left" w:pos="2160"/>
                <w:tab w:val="left" w:pos="2880"/>
                <w:tab w:val="left" w:pos="3600"/>
                <w:tab w:val="left" w:pos="4320"/>
                <w:tab w:val="left" w:pos="5040"/>
                <w:tab w:val="left" w:pos="609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80"/>
              <w:rPr>
                <w:rFonts w:asciiTheme="majorHAnsi" w:hAnsiTheme="majorHAnsi"/>
                <w:color w:val="2F2B20" w:themeColor="background1"/>
              </w:rPr>
            </w:pPr>
            <w:r w:rsidRPr="002C1C62">
              <w:rPr>
                <w:rFonts w:asciiTheme="majorHAnsi" w:hAnsiTheme="majorHAnsi"/>
                <w:color w:val="2F2B20" w:themeColor="background1"/>
              </w:rPr>
              <w:t>The candidate is expected to be familiar with the Higher Degrees Guide;</w:t>
            </w:r>
          </w:p>
          <w:p w14:paraId="7FE99770" w14:textId="58E10C00" w:rsidR="00553A65" w:rsidRPr="002C1C62" w:rsidRDefault="008C5230" w:rsidP="00090233">
            <w:pPr>
              <w:pStyle w:val="ListParagraph"/>
              <w:numPr>
                <w:ilvl w:val="0"/>
                <w:numId w:val="3"/>
              </w:numPr>
              <w:spacing w:before="80" w:after="80"/>
              <w:rPr>
                <w:rFonts w:asciiTheme="majorHAnsi" w:hAnsiTheme="majorHAnsi"/>
                <w:color w:val="2F2B20" w:themeColor="background1"/>
              </w:rPr>
            </w:pPr>
            <w:r>
              <w:rPr>
                <w:rFonts w:asciiTheme="majorHAnsi" w:hAnsiTheme="majorHAnsi"/>
                <w:color w:val="2F2B20" w:themeColor="background1"/>
              </w:rPr>
              <w:t>The candidate’s responsibilities</w:t>
            </w:r>
            <w:r w:rsidR="00553A65" w:rsidRPr="002C1C62">
              <w:rPr>
                <w:rFonts w:asciiTheme="majorHAnsi" w:hAnsiTheme="majorHAnsi"/>
                <w:color w:val="2F2B20" w:themeColor="background1"/>
              </w:rPr>
              <w:t xml:space="preserve"> before the project begins, during the course of the project, and at the conclusion of the project are set out in detail in the Higher Degrees Guide;</w:t>
            </w:r>
          </w:p>
          <w:p w14:paraId="2702B87E" w14:textId="5CF7C9CF" w:rsidR="00D50870" w:rsidRPr="002C1C62" w:rsidRDefault="00553A65" w:rsidP="00090233">
            <w:pPr>
              <w:pStyle w:val="ListParagraph"/>
              <w:numPr>
                <w:ilvl w:val="0"/>
                <w:numId w:val="3"/>
              </w:numPr>
              <w:tabs>
                <w:tab w:val="left" w:pos="-1080"/>
                <w:tab w:val="left" w:pos="-720"/>
                <w:tab w:val="left" w:pos="0"/>
                <w:tab w:val="left" w:pos="709"/>
                <w:tab w:val="left" w:pos="1440"/>
                <w:tab w:val="left" w:pos="2160"/>
                <w:tab w:val="left" w:pos="2880"/>
                <w:tab w:val="left" w:pos="3600"/>
                <w:tab w:val="left" w:pos="4320"/>
                <w:tab w:val="left" w:pos="5040"/>
                <w:tab w:val="left" w:pos="609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80"/>
              <w:rPr>
                <w:rFonts w:asciiTheme="majorHAnsi" w:hAnsiTheme="majorHAnsi"/>
                <w:color w:val="2F2B20" w:themeColor="background1"/>
              </w:rPr>
            </w:pPr>
            <w:r w:rsidRPr="002C1C62">
              <w:rPr>
                <w:rFonts w:asciiTheme="majorHAnsi" w:hAnsiTheme="majorHAnsi"/>
                <w:color w:val="2F2B20" w:themeColor="background1"/>
              </w:rPr>
              <w:t xml:space="preserve">The candidate should consider the roles of supervisor and candidate as set out in the Higher Degrees Guide and explicitly discuss how they will work with their supervisor/supervisory team for the duration of the project. A record of this agreement should be kept in whatever form is considered most appropriate. The candidate and supervisor/s should have access to this document. A few of the key issues to be deliberated </w:t>
            </w:r>
            <w:r w:rsidR="0069759D" w:rsidRPr="002C1C62">
              <w:rPr>
                <w:rFonts w:asciiTheme="majorHAnsi" w:hAnsiTheme="majorHAnsi"/>
                <w:color w:val="2F2B20" w:themeColor="background1"/>
              </w:rPr>
              <w:t xml:space="preserve">and included in such a document </w:t>
            </w:r>
            <w:r w:rsidRPr="002C1C62">
              <w:rPr>
                <w:rFonts w:asciiTheme="majorHAnsi" w:hAnsiTheme="majorHAnsi"/>
                <w:color w:val="2F2B20" w:themeColor="background1"/>
              </w:rPr>
              <w:t xml:space="preserve">are outlined under the role of the supervisor above. </w:t>
            </w:r>
          </w:p>
        </w:tc>
      </w:tr>
      <w:tr w:rsidR="002C1C62" w:rsidRPr="002C1C62" w14:paraId="0464123E" w14:textId="77777777" w:rsidTr="006A38DB">
        <w:trPr>
          <w:trHeight w:val="747"/>
        </w:trPr>
        <w:tc>
          <w:tcPr>
            <w:tcW w:w="2023" w:type="dxa"/>
          </w:tcPr>
          <w:p w14:paraId="434E974D" w14:textId="77777777" w:rsidR="00EC16A4" w:rsidRPr="002C1C62" w:rsidRDefault="00EC16A4" w:rsidP="002B2C32">
            <w:pPr>
              <w:widowControl w:val="0"/>
              <w:spacing w:before="80" w:after="80"/>
              <w:rPr>
                <w:rFonts w:asciiTheme="majorHAnsi" w:hAnsiTheme="majorHAnsi"/>
                <w:b/>
                <w:color w:val="2F2B20" w:themeColor="background1"/>
              </w:rPr>
            </w:pPr>
            <w:r w:rsidRPr="002C1C62">
              <w:rPr>
                <w:rFonts w:asciiTheme="majorHAnsi" w:hAnsiTheme="majorHAnsi"/>
                <w:b/>
                <w:color w:val="2F2B20" w:themeColor="background1"/>
              </w:rPr>
              <w:t>ROLE 3</w:t>
            </w:r>
          </w:p>
          <w:p w14:paraId="390F45A2" w14:textId="77777777" w:rsidR="00E93F87" w:rsidRPr="002C1C62" w:rsidRDefault="00E93F87" w:rsidP="002B2C32">
            <w:pPr>
              <w:widowControl w:val="0"/>
              <w:spacing w:before="80" w:after="80"/>
              <w:rPr>
                <w:rFonts w:asciiTheme="majorHAnsi" w:hAnsiTheme="majorHAnsi"/>
                <w:b/>
                <w:color w:val="2F2B20" w:themeColor="background1"/>
              </w:rPr>
            </w:pPr>
          </w:p>
        </w:tc>
        <w:tc>
          <w:tcPr>
            <w:tcW w:w="7945" w:type="dxa"/>
          </w:tcPr>
          <w:p w14:paraId="19EF1778" w14:textId="7E83DE8E" w:rsidR="00EC16A4" w:rsidRPr="002C1C62" w:rsidRDefault="00553A65" w:rsidP="0069759D">
            <w:pPr>
              <w:widowControl w:val="0"/>
              <w:spacing w:before="80" w:after="80"/>
              <w:rPr>
                <w:rFonts w:asciiTheme="majorHAnsi" w:hAnsiTheme="majorHAnsi"/>
                <w:b/>
                <w:color w:val="2F2B20" w:themeColor="background1"/>
              </w:rPr>
            </w:pPr>
            <w:r w:rsidRPr="002C1C62">
              <w:rPr>
                <w:rFonts w:asciiTheme="majorHAnsi" w:hAnsiTheme="majorHAnsi"/>
                <w:b/>
                <w:color w:val="2F2B20" w:themeColor="background1"/>
              </w:rPr>
              <w:t>CPGS</w:t>
            </w:r>
          </w:p>
        </w:tc>
      </w:tr>
      <w:tr w:rsidR="002C1C62" w:rsidRPr="002C1C62" w14:paraId="30A03E3F" w14:textId="77777777" w:rsidTr="00AC1BB2">
        <w:trPr>
          <w:trHeight w:val="747"/>
        </w:trPr>
        <w:tc>
          <w:tcPr>
            <w:tcW w:w="9968" w:type="dxa"/>
            <w:gridSpan w:val="2"/>
          </w:tcPr>
          <w:p w14:paraId="56B1B74B" w14:textId="4662CAD6" w:rsidR="00EA08DD" w:rsidRPr="002C1C62" w:rsidRDefault="00EA08DD" w:rsidP="00442706">
            <w:pPr>
              <w:pStyle w:val="ListParagraph"/>
              <w:widowControl w:val="0"/>
              <w:numPr>
                <w:ilvl w:val="0"/>
                <w:numId w:val="5"/>
              </w:numPr>
              <w:spacing w:before="80" w:after="80"/>
              <w:rPr>
                <w:rFonts w:asciiTheme="majorHAnsi" w:hAnsiTheme="majorHAnsi"/>
                <w:color w:val="2F2B20" w:themeColor="background1"/>
              </w:rPr>
            </w:pPr>
            <w:r w:rsidRPr="002C1C62">
              <w:rPr>
                <w:rFonts w:asciiTheme="majorHAnsi" w:hAnsiTheme="majorHAnsi"/>
                <w:color w:val="2F2B20" w:themeColor="background1"/>
              </w:rPr>
              <w:t>The role of the Centre for Postgraduate Studies is to provide support to both supervisors and HDR candidates through the offering of seminars, workshops, short courses and collaborative initiatives.</w:t>
            </w:r>
          </w:p>
          <w:p w14:paraId="2FD8F0F2" w14:textId="2C6B2995" w:rsidR="00EA08DD" w:rsidRPr="002C1C62" w:rsidRDefault="00EA08DD" w:rsidP="00442706">
            <w:pPr>
              <w:pStyle w:val="ListParagraph"/>
              <w:widowControl w:val="0"/>
              <w:numPr>
                <w:ilvl w:val="0"/>
                <w:numId w:val="5"/>
              </w:numPr>
              <w:spacing w:before="80" w:after="80"/>
              <w:rPr>
                <w:rFonts w:asciiTheme="majorHAnsi" w:hAnsiTheme="majorHAnsi"/>
                <w:color w:val="2F2B20" w:themeColor="background1"/>
              </w:rPr>
            </w:pPr>
            <w:r w:rsidRPr="002C1C62">
              <w:rPr>
                <w:rFonts w:asciiTheme="majorHAnsi" w:hAnsiTheme="majorHAnsi"/>
                <w:color w:val="2F2B20" w:themeColor="background1"/>
              </w:rPr>
              <w:t xml:space="preserve">Where necessary, the Centre for Postgraduate Studies might be asked to assist in mediation where disputes related to </w:t>
            </w:r>
            <w:r w:rsidR="004F5633" w:rsidRPr="002C1C62">
              <w:rPr>
                <w:rFonts w:asciiTheme="majorHAnsi" w:hAnsiTheme="majorHAnsi"/>
                <w:color w:val="2F2B20" w:themeColor="background1"/>
              </w:rPr>
              <w:t>postgraduate studies have arisen.</w:t>
            </w:r>
          </w:p>
        </w:tc>
      </w:tr>
      <w:tr w:rsidR="002C1C62" w:rsidRPr="002C1C62" w14:paraId="2327DC58" w14:textId="77777777" w:rsidTr="006A38DB">
        <w:trPr>
          <w:trHeight w:val="747"/>
        </w:trPr>
        <w:tc>
          <w:tcPr>
            <w:tcW w:w="2023" w:type="dxa"/>
          </w:tcPr>
          <w:p w14:paraId="0E1C781E" w14:textId="77777777" w:rsidR="00EC16A4" w:rsidRPr="002C1C62" w:rsidRDefault="00EC16A4" w:rsidP="002B2C32">
            <w:pPr>
              <w:widowControl w:val="0"/>
              <w:spacing w:before="80" w:after="80"/>
              <w:rPr>
                <w:rFonts w:asciiTheme="majorHAnsi" w:hAnsiTheme="majorHAnsi"/>
                <w:b/>
                <w:color w:val="2F2B20" w:themeColor="background1"/>
              </w:rPr>
            </w:pPr>
            <w:r w:rsidRPr="002C1C62">
              <w:rPr>
                <w:rFonts w:asciiTheme="majorHAnsi" w:hAnsiTheme="majorHAnsi"/>
                <w:b/>
                <w:color w:val="2F2B20" w:themeColor="background1"/>
              </w:rPr>
              <w:t xml:space="preserve">ROLE </w:t>
            </w:r>
            <w:r w:rsidR="00773E1D" w:rsidRPr="002C1C62">
              <w:rPr>
                <w:rFonts w:asciiTheme="majorHAnsi" w:hAnsiTheme="majorHAnsi"/>
                <w:b/>
                <w:color w:val="2F2B20" w:themeColor="background1"/>
              </w:rPr>
              <w:t>4</w:t>
            </w:r>
          </w:p>
          <w:p w14:paraId="7538D516" w14:textId="77777777" w:rsidR="00E93F87" w:rsidRPr="002C1C62" w:rsidRDefault="00E93F87" w:rsidP="002B2C32">
            <w:pPr>
              <w:widowControl w:val="0"/>
              <w:spacing w:before="80" w:after="80"/>
              <w:rPr>
                <w:rFonts w:asciiTheme="majorHAnsi" w:hAnsiTheme="majorHAnsi"/>
                <w:b/>
                <w:color w:val="2F2B20" w:themeColor="background1"/>
              </w:rPr>
            </w:pPr>
          </w:p>
        </w:tc>
        <w:tc>
          <w:tcPr>
            <w:tcW w:w="7945" w:type="dxa"/>
          </w:tcPr>
          <w:p w14:paraId="2053A40E" w14:textId="23FDF283" w:rsidR="00EC16A4" w:rsidRPr="002C1C62" w:rsidRDefault="00553A65" w:rsidP="002B2C32">
            <w:pPr>
              <w:widowControl w:val="0"/>
              <w:spacing w:before="80" w:after="80"/>
              <w:rPr>
                <w:rFonts w:asciiTheme="majorHAnsi" w:hAnsiTheme="majorHAnsi"/>
                <w:b/>
                <w:color w:val="2F2B20" w:themeColor="background1"/>
              </w:rPr>
            </w:pPr>
            <w:r w:rsidRPr="002C1C62">
              <w:rPr>
                <w:rFonts w:asciiTheme="majorHAnsi" w:hAnsiTheme="majorHAnsi"/>
                <w:b/>
                <w:color w:val="2F2B20" w:themeColor="background1"/>
              </w:rPr>
              <w:t>HoD</w:t>
            </w:r>
          </w:p>
          <w:p w14:paraId="43C978B0" w14:textId="77777777" w:rsidR="00EC16A4" w:rsidRPr="002C1C62" w:rsidRDefault="00EC16A4" w:rsidP="002B2C32">
            <w:pPr>
              <w:pStyle w:val="NormalWeb"/>
              <w:spacing w:before="80" w:after="80"/>
              <w:ind w:left="390" w:right="0"/>
              <w:rPr>
                <w:rFonts w:asciiTheme="majorHAnsi" w:hAnsiTheme="majorHAnsi" w:cs="Times New Roman"/>
                <w:b/>
                <w:bCs/>
                <w:color w:val="2F2B20" w:themeColor="background1"/>
                <w:sz w:val="22"/>
                <w:szCs w:val="22"/>
                <w:lang w:val="en-GB"/>
              </w:rPr>
            </w:pPr>
          </w:p>
        </w:tc>
      </w:tr>
      <w:tr w:rsidR="002C1C62" w:rsidRPr="002C1C62" w14:paraId="1397E43D" w14:textId="77777777" w:rsidTr="002C77D9">
        <w:trPr>
          <w:trHeight w:val="354"/>
        </w:trPr>
        <w:tc>
          <w:tcPr>
            <w:tcW w:w="9968" w:type="dxa"/>
            <w:gridSpan w:val="2"/>
          </w:tcPr>
          <w:p w14:paraId="7C11187F" w14:textId="77777777" w:rsidR="00442706" w:rsidRPr="002C1C62" w:rsidRDefault="00CB2695" w:rsidP="008C5230">
            <w:pPr>
              <w:pStyle w:val="ListParagraph"/>
              <w:widowControl w:val="0"/>
              <w:numPr>
                <w:ilvl w:val="0"/>
                <w:numId w:val="6"/>
              </w:numPr>
              <w:spacing w:before="80" w:after="80"/>
              <w:rPr>
                <w:rFonts w:asciiTheme="majorHAnsi" w:hAnsiTheme="majorHAnsi"/>
                <w:color w:val="2F2B20" w:themeColor="background1"/>
              </w:rPr>
            </w:pPr>
            <w:r w:rsidRPr="002C1C62">
              <w:rPr>
                <w:rFonts w:asciiTheme="majorHAnsi" w:hAnsiTheme="majorHAnsi"/>
                <w:color w:val="2F2B20" w:themeColor="background1"/>
              </w:rPr>
              <w:t xml:space="preserve">The Head of Department approves the registration of HDR students and their allocation to supervisors. </w:t>
            </w:r>
          </w:p>
          <w:p w14:paraId="04949284" w14:textId="77777777" w:rsidR="00442706" w:rsidRDefault="00442706" w:rsidP="008C5230">
            <w:pPr>
              <w:pStyle w:val="ListParagraph"/>
              <w:widowControl w:val="0"/>
              <w:numPr>
                <w:ilvl w:val="0"/>
                <w:numId w:val="6"/>
              </w:numPr>
              <w:spacing w:before="80" w:after="80"/>
              <w:rPr>
                <w:rFonts w:asciiTheme="majorHAnsi" w:hAnsiTheme="majorHAnsi"/>
                <w:color w:val="2F2B20" w:themeColor="background1"/>
              </w:rPr>
            </w:pPr>
            <w:r w:rsidRPr="002C1C62">
              <w:rPr>
                <w:rFonts w:asciiTheme="majorHAnsi" w:hAnsiTheme="majorHAnsi"/>
                <w:color w:val="2F2B20" w:themeColor="background1"/>
              </w:rPr>
              <w:t>T</w:t>
            </w:r>
            <w:r w:rsidR="00CB2695" w:rsidRPr="002C1C62">
              <w:rPr>
                <w:rFonts w:asciiTheme="majorHAnsi" w:hAnsiTheme="majorHAnsi"/>
                <w:color w:val="2F2B20" w:themeColor="background1"/>
              </w:rPr>
              <w:t xml:space="preserve">he HoD should oversee supervision workloads and progress of HDR students in the department. </w:t>
            </w:r>
          </w:p>
          <w:p w14:paraId="2B1B5F83" w14:textId="32FD21CB" w:rsidR="008C5230" w:rsidRDefault="008C5230" w:rsidP="00AC1BB2">
            <w:pPr>
              <w:pStyle w:val="ListParagraph"/>
              <w:widowControl w:val="0"/>
              <w:numPr>
                <w:ilvl w:val="0"/>
                <w:numId w:val="6"/>
              </w:numPr>
              <w:tabs>
                <w:tab w:val="left" w:pos="-1080"/>
                <w:tab w:val="left" w:pos="-720"/>
                <w:tab w:val="left" w:pos="0"/>
                <w:tab w:val="left" w:pos="360"/>
                <w:tab w:val="left" w:pos="720"/>
                <w:tab w:val="left" w:pos="1440"/>
                <w:tab w:val="left" w:pos="2160"/>
                <w:tab w:val="left" w:pos="2880"/>
                <w:tab w:val="left" w:pos="3600"/>
                <w:tab w:val="left" w:pos="4320"/>
                <w:tab w:val="left" w:pos="5040"/>
                <w:tab w:val="left" w:pos="609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80"/>
              <w:rPr>
                <w:rFonts w:asciiTheme="majorHAnsi" w:hAnsiTheme="majorHAnsi"/>
                <w:color w:val="2F2B20" w:themeColor="background1"/>
              </w:rPr>
            </w:pPr>
            <w:r w:rsidRPr="008C5230">
              <w:rPr>
                <w:rFonts w:asciiTheme="majorHAnsi" w:hAnsiTheme="majorHAnsi"/>
                <w:color w:val="2F2B20" w:themeColor="background1"/>
              </w:rPr>
              <w:t>The HoD is expected to ensure that supervisors are aware of this HDR supervision policy, the Higher Degrees Guide, any administrative regulations pertaining to Higher Degrees by Research, and any Faculty specific rules and processes;</w:t>
            </w:r>
          </w:p>
          <w:p w14:paraId="13A679F1" w14:textId="74A0E0FF" w:rsidR="00A8470A" w:rsidRPr="008C5230" w:rsidRDefault="00A8470A" w:rsidP="00AC1BB2">
            <w:pPr>
              <w:pStyle w:val="ListParagraph"/>
              <w:widowControl w:val="0"/>
              <w:numPr>
                <w:ilvl w:val="0"/>
                <w:numId w:val="6"/>
              </w:numPr>
              <w:tabs>
                <w:tab w:val="left" w:pos="-1080"/>
                <w:tab w:val="left" w:pos="-720"/>
                <w:tab w:val="left" w:pos="0"/>
                <w:tab w:val="left" w:pos="360"/>
                <w:tab w:val="left" w:pos="720"/>
                <w:tab w:val="left" w:pos="1440"/>
                <w:tab w:val="left" w:pos="2160"/>
                <w:tab w:val="left" w:pos="2880"/>
                <w:tab w:val="left" w:pos="3600"/>
                <w:tab w:val="left" w:pos="4320"/>
                <w:tab w:val="left" w:pos="5040"/>
                <w:tab w:val="left" w:pos="609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80"/>
              <w:rPr>
                <w:rFonts w:asciiTheme="majorHAnsi" w:hAnsiTheme="majorHAnsi"/>
                <w:color w:val="2F2B20" w:themeColor="background1"/>
              </w:rPr>
            </w:pPr>
            <w:r>
              <w:rPr>
                <w:rFonts w:asciiTheme="majorHAnsi" w:hAnsiTheme="majorHAnsi"/>
                <w:color w:val="2F2B20" w:themeColor="background1"/>
              </w:rPr>
              <w:t>The HoD mediates in any disputes as may be required;</w:t>
            </w:r>
          </w:p>
          <w:p w14:paraId="686F5EE2" w14:textId="52C58E1F" w:rsidR="00CB2695" w:rsidRPr="002C1C62" w:rsidRDefault="00CB2695" w:rsidP="008C5230">
            <w:pPr>
              <w:pStyle w:val="ListParagraph"/>
              <w:widowControl w:val="0"/>
              <w:numPr>
                <w:ilvl w:val="0"/>
                <w:numId w:val="6"/>
              </w:numPr>
              <w:spacing w:before="80" w:after="80"/>
              <w:rPr>
                <w:rFonts w:asciiTheme="majorHAnsi" w:hAnsiTheme="majorHAnsi"/>
                <w:color w:val="2F2B20" w:themeColor="background1"/>
              </w:rPr>
            </w:pPr>
            <w:r w:rsidRPr="002C1C62">
              <w:rPr>
                <w:rFonts w:asciiTheme="majorHAnsi" w:hAnsiTheme="majorHAnsi"/>
                <w:color w:val="2F2B20" w:themeColor="background1"/>
              </w:rPr>
              <w:t>The HoD should encourage the development of a supportive research culture in the department to foster HDR success.</w:t>
            </w:r>
          </w:p>
        </w:tc>
      </w:tr>
      <w:tr w:rsidR="002C1C62" w:rsidRPr="002C1C62" w14:paraId="44344244" w14:textId="77777777" w:rsidTr="006A38DB">
        <w:trPr>
          <w:trHeight w:val="747"/>
        </w:trPr>
        <w:tc>
          <w:tcPr>
            <w:tcW w:w="2023" w:type="dxa"/>
          </w:tcPr>
          <w:p w14:paraId="4B3CDEBB" w14:textId="77777777" w:rsidR="002A5516" w:rsidRPr="002C1C62" w:rsidRDefault="002A5516" w:rsidP="002B2C32">
            <w:pPr>
              <w:widowControl w:val="0"/>
              <w:spacing w:before="80" w:after="80"/>
              <w:rPr>
                <w:rFonts w:asciiTheme="majorHAnsi" w:hAnsiTheme="majorHAnsi"/>
                <w:b/>
                <w:color w:val="2F2B20" w:themeColor="background1"/>
              </w:rPr>
            </w:pPr>
            <w:r w:rsidRPr="002C1C62">
              <w:rPr>
                <w:rFonts w:asciiTheme="majorHAnsi" w:hAnsiTheme="majorHAnsi"/>
                <w:b/>
                <w:color w:val="2F2B20" w:themeColor="background1"/>
              </w:rPr>
              <w:t>ROLE 5</w:t>
            </w:r>
          </w:p>
          <w:p w14:paraId="79397FB3" w14:textId="77777777" w:rsidR="00EC16A4" w:rsidRPr="002C1C62" w:rsidRDefault="00EC16A4" w:rsidP="002B2C32">
            <w:pPr>
              <w:widowControl w:val="0"/>
              <w:spacing w:before="80" w:after="80"/>
              <w:rPr>
                <w:rFonts w:asciiTheme="majorHAnsi" w:hAnsiTheme="majorHAnsi"/>
                <w:b/>
                <w:color w:val="2F2B20" w:themeColor="background1"/>
              </w:rPr>
            </w:pPr>
          </w:p>
        </w:tc>
        <w:tc>
          <w:tcPr>
            <w:tcW w:w="7945" w:type="dxa"/>
          </w:tcPr>
          <w:p w14:paraId="2DE4F914" w14:textId="604D480E" w:rsidR="00EC16A4" w:rsidRPr="002C1C62" w:rsidRDefault="00553A65" w:rsidP="002B2C32">
            <w:pPr>
              <w:widowControl w:val="0"/>
              <w:spacing w:before="80" w:after="80"/>
              <w:rPr>
                <w:rFonts w:asciiTheme="majorHAnsi" w:hAnsiTheme="majorHAnsi"/>
                <w:b/>
                <w:color w:val="2F2B20" w:themeColor="background1"/>
                <w:lang w:val="en-GB"/>
              </w:rPr>
            </w:pPr>
            <w:r w:rsidRPr="002C1C62">
              <w:rPr>
                <w:rFonts w:asciiTheme="majorHAnsi" w:hAnsiTheme="majorHAnsi"/>
                <w:b/>
                <w:color w:val="2F2B20" w:themeColor="background1"/>
                <w:lang w:val="en-GB"/>
              </w:rPr>
              <w:t>Dean</w:t>
            </w:r>
          </w:p>
        </w:tc>
      </w:tr>
      <w:tr w:rsidR="002C1C62" w:rsidRPr="002C1C62" w14:paraId="544D5D42" w14:textId="77777777" w:rsidTr="00AC1BB2">
        <w:trPr>
          <w:trHeight w:val="747"/>
        </w:trPr>
        <w:tc>
          <w:tcPr>
            <w:tcW w:w="9968" w:type="dxa"/>
            <w:gridSpan w:val="2"/>
          </w:tcPr>
          <w:p w14:paraId="391A57C2" w14:textId="77777777" w:rsidR="00442706" w:rsidRPr="002C1C62" w:rsidRDefault="00CB2695" w:rsidP="00442706">
            <w:pPr>
              <w:pStyle w:val="ListParagraph"/>
              <w:widowControl w:val="0"/>
              <w:numPr>
                <w:ilvl w:val="0"/>
                <w:numId w:val="7"/>
              </w:numPr>
              <w:spacing w:before="80" w:after="80"/>
              <w:rPr>
                <w:rFonts w:asciiTheme="majorHAnsi" w:hAnsiTheme="majorHAnsi"/>
                <w:color w:val="2F2B20" w:themeColor="background1"/>
                <w:lang w:val="en-GB"/>
              </w:rPr>
            </w:pPr>
            <w:r w:rsidRPr="002C1C62">
              <w:rPr>
                <w:rFonts w:asciiTheme="majorHAnsi" w:hAnsiTheme="majorHAnsi"/>
                <w:color w:val="2F2B20" w:themeColor="background1"/>
                <w:lang w:val="en-GB"/>
              </w:rPr>
              <w:t xml:space="preserve">The Dean approves the HoD’s recommendation for registration of HDR students and their allocation to supervisors. </w:t>
            </w:r>
          </w:p>
          <w:p w14:paraId="648CB15A" w14:textId="77777777" w:rsidR="00442706" w:rsidRPr="002C1C62" w:rsidRDefault="00CB2695" w:rsidP="00442706">
            <w:pPr>
              <w:pStyle w:val="ListParagraph"/>
              <w:widowControl w:val="0"/>
              <w:numPr>
                <w:ilvl w:val="0"/>
                <w:numId w:val="7"/>
              </w:numPr>
              <w:spacing w:before="80" w:after="80"/>
              <w:rPr>
                <w:rFonts w:asciiTheme="majorHAnsi" w:hAnsiTheme="majorHAnsi"/>
                <w:color w:val="2F2B20" w:themeColor="background1"/>
                <w:lang w:val="en-GB"/>
              </w:rPr>
            </w:pPr>
            <w:r w:rsidRPr="002C1C62">
              <w:rPr>
                <w:rFonts w:asciiTheme="majorHAnsi" w:hAnsiTheme="majorHAnsi"/>
                <w:color w:val="2F2B20" w:themeColor="background1"/>
                <w:lang w:val="en-GB"/>
              </w:rPr>
              <w:t xml:space="preserve">The Dean should work with the Director of the CPGS to </w:t>
            </w:r>
            <w:r w:rsidRPr="002C1C62">
              <w:rPr>
                <w:rFonts w:asciiTheme="majorHAnsi" w:hAnsiTheme="majorHAnsi"/>
                <w:color w:val="2F2B20" w:themeColor="background1"/>
              </w:rPr>
              <w:t xml:space="preserve">encourage the development of a supportive research culture in the faculty to foster HDR success. </w:t>
            </w:r>
          </w:p>
          <w:p w14:paraId="40DEDF4C" w14:textId="77777777" w:rsidR="00442706" w:rsidRPr="002C1C62" w:rsidRDefault="00CB2695" w:rsidP="00442706">
            <w:pPr>
              <w:pStyle w:val="ListParagraph"/>
              <w:widowControl w:val="0"/>
              <w:numPr>
                <w:ilvl w:val="0"/>
                <w:numId w:val="7"/>
              </w:numPr>
              <w:spacing w:before="80" w:after="80"/>
              <w:rPr>
                <w:rFonts w:asciiTheme="majorHAnsi" w:hAnsiTheme="majorHAnsi"/>
                <w:color w:val="2F2B20" w:themeColor="background1"/>
                <w:lang w:val="en-GB"/>
              </w:rPr>
            </w:pPr>
            <w:r w:rsidRPr="002C1C62">
              <w:rPr>
                <w:rFonts w:asciiTheme="majorHAnsi" w:hAnsiTheme="majorHAnsi"/>
                <w:color w:val="2F2B20" w:themeColor="background1"/>
              </w:rPr>
              <w:t xml:space="preserve">The Dean should oversee the tracking of HDR students’ progress on an annual basis and take what steps as may be deemed necessary according the faculty’s approved practices. </w:t>
            </w:r>
          </w:p>
          <w:p w14:paraId="35032273" w14:textId="412946E4" w:rsidR="00CB2695" w:rsidRPr="002C1C62" w:rsidRDefault="00CB2695" w:rsidP="00442706">
            <w:pPr>
              <w:pStyle w:val="ListParagraph"/>
              <w:widowControl w:val="0"/>
              <w:numPr>
                <w:ilvl w:val="0"/>
                <w:numId w:val="7"/>
              </w:numPr>
              <w:spacing w:before="80" w:after="80"/>
              <w:rPr>
                <w:rFonts w:asciiTheme="majorHAnsi" w:hAnsiTheme="majorHAnsi"/>
                <w:color w:val="2F2B20" w:themeColor="background1"/>
                <w:lang w:val="en-GB"/>
              </w:rPr>
            </w:pPr>
            <w:r w:rsidRPr="002C1C62">
              <w:rPr>
                <w:rFonts w:asciiTheme="majorHAnsi" w:hAnsiTheme="majorHAnsi"/>
                <w:color w:val="2F2B20" w:themeColor="background1"/>
              </w:rPr>
              <w:t>The Dean acts as mediator in the case of disputes.</w:t>
            </w:r>
          </w:p>
        </w:tc>
      </w:tr>
      <w:tr w:rsidR="002C1C62" w:rsidRPr="002C1C62" w14:paraId="5DAD3084" w14:textId="77777777" w:rsidTr="006A38DB">
        <w:trPr>
          <w:trHeight w:val="747"/>
        </w:trPr>
        <w:tc>
          <w:tcPr>
            <w:tcW w:w="2023" w:type="dxa"/>
          </w:tcPr>
          <w:p w14:paraId="63BD5743" w14:textId="079B6751" w:rsidR="00553A65" w:rsidRPr="002C1C62" w:rsidRDefault="00553A65" w:rsidP="002B2C32">
            <w:pPr>
              <w:widowControl w:val="0"/>
              <w:spacing w:before="80" w:after="80"/>
              <w:rPr>
                <w:rFonts w:asciiTheme="majorHAnsi" w:hAnsiTheme="majorHAnsi"/>
                <w:b/>
                <w:color w:val="2F2B20" w:themeColor="background1"/>
              </w:rPr>
            </w:pPr>
            <w:r w:rsidRPr="002C1C62">
              <w:rPr>
                <w:rFonts w:asciiTheme="majorHAnsi" w:hAnsiTheme="majorHAnsi"/>
                <w:b/>
                <w:color w:val="2F2B20" w:themeColor="background1"/>
              </w:rPr>
              <w:t>Role 6</w:t>
            </w:r>
          </w:p>
        </w:tc>
        <w:tc>
          <w:tcPr>
            <w:tcW w:w="7945" w:type="dxa"/>
          </w:tcPr>
          <w:p w14:paraId="71C996DA" w14:textId="582B1397" w:rsidR="00553A65" w:rsidRPr="002C1C62" w:rsidRDefault="00553A65" w:rsidP="002B2C32">
            <w:pPr>
              <w:widowControl w:val="0"/>
              <w:spacing w:before="80" w:after="80"/>
              <w:rPr>
                <w:rFonts w:asciiTheme="majorHAnsi" w:hAnsiTheme="majorHAnsi"/>
                <w:b/>
                <w:color w:val="2F2B20" w:themeColor="background1"/>
                <w:lang w:val="en-GB"/>
              </w:rPr>
            </w:pPr>
            <w:r w:rsidRPr="002C1C62">
              <w:rPr>
                <w:rFonts w:asciiTheme="majorHAnsi" w:hAnsiTheme="majorHAnsi"/>
                <w:b/>
                <w:color w:val="2F2B20" w:themeColor="background1"/>
                <w:lang w:val="en-GB"/>
              </w:rPr>
              <w:t>DVC: Research</w:t>
            </w:r>
          </w:p>
        </w:tc>
      </w:tr>
      <w:tr w:rsidR="002C1C62" w:rsidRPr="002C1C62" w14:paraId="788A4A32" w14:textId="77777777" w:rsidTr="00AC1BB2">
        <w:trPr>
          <w:trHeight w:val="747"/>
        </w:trPr>
        <w:tc>
          <w:tcPr>
            <w:tcW w:w="9968" w:type="dxa"/>
            <w:gridSpan w:val="2"/>
          </w:tcPr>
          <w:p w14:paraId="50D1C0B1" w14:textId="73BA9AC1" w:rsidR="00442706" w:rsidRPr="002C1C62" w:rsidRDefault="00CB2695" w:rsidP="00442706">
            <w:pPr>
              <w:pStyle w:val="ListParagraph"/>
              <w:widowControl w:val="0"/>
              <w:numPr>
                <w:ilvl w:val="0"/>
                <w:numId w:val="8"/>
              </w:numPr>
              <w:spacing w:before="80" w:after="80"/>
              <w:rPr>
                <w:rFonts w:asciiTheme="majorHAnsi" w:hAnsiTheme="majorHAnsi"/>
                <w:color w:val="2F2B20" w:themeColor="background1"/>
                <w:lang w:val="en-GB"/>
              </w:rPr>
            </w:pPr>
            <w:r w:rsidRPr="002C1C62">
              <w:rPr>
                <w:rFonts w:asciiTheme="majorHAnsi" w:hAnsiTheme="majorHAnsi"/>
                <w:color w:val="2F2B20" w:themeColor="background1"/>
                <w:lang w:val="en-GB"/>
              </w:rPr>
              <w:t xml:space="preserve">The DVC: Research has responsibility for </w:t>
            </w:r>
            <w:r w:rsidR="00470432" w:rsidRPr="002C1C62">
              <w:rPr>
                <w:rFonts w:asciiTheme="majorHAnsi" w:hAnsiTheme="majorHAnsi"/>
                <w:color w:val="2F2B20" w:themeColor="background1"/>
                <w:lang w:val="en-GB"/>
              </w:rPr>
              <w:t>strategic</w:t>
            </w:r>
            <w:r w:rsidR="00442706" w:rsidRPr="002C1C62">
              <w:rPr>
                <w:rFonts w:asciiTheme="majorHAnsi" w:hAnsiTheme="majorHAnsi"/>
                <w:color w:val="2F2B20" w:themeColor="background1"/>
                <w:lang w:val="en-GB"/>
              </w:rPr>
              <w:t xml:space="preserve"> guidance for and the </w:t>
            </w:r>
            <w:r w:rsidRPr="002C1C62">
              <w:rPr>
                <w:rFonts w:asciiTheme="majorHAnsi" w:hAnsiTheme="majorHAnsi"/>
                <w:color w:val="2F2B20" w:themeColor="background1"/>
                <w:lang w:val="en-GB"/>
              </w:rPr>
              <w:t xml:space="preserve">overseeing </w:t>
            </w:r>
            <w:r w:rsidR="00442706" w:rsidRPr="002C1C62">
              <w:rPr>
                <w:rFonts w:asciiTheme="majorHAnsi" w:hAnsiTheme="majorHAnsi"/>
                <w:color w:val="2F2B20" w:themeColor="background1"/>
                <w:lang w:val="en-GB"/>
              </w:rPr>
              <w:t xml:space="preserve">of </w:t>
            </w:r>
            <w:r w:rsidRPr="002C1C62">
              <w:rPr>
                <w:rFonts w:asciiTheme="majorHAnsi" w:hAnsiTheme="majorHAnsi"/>
                <w:color w:val="2F2B20" w:themeColor="background1"/>
                <w:lang w:val="en-GB"/>
              </w:rPr>
              <w:t xml:space="preserve">HDR education in the institution. </w:t>
            </w:r>
          </w:p>
          <w:p w14:paraId="5EB9C623" w14:textId="77777777" w:rsidR="00442706" w:rsidRPr="002C1C62" w:rsidRDefault="00CB2695" w:rsidP="00442706">
            <w:pPr>
              <w:pStyle w:val="ListParagraph"/>
              <w:widowControl w:val="0"/>
              <w:numPr>
                <w:ilvl w:val="0"/>
                <w:numId w:val="8"/>
              </w:numPr>
              <w:spacing w:before="80" w:after="80"/>
              <w:rPr>
                <w:rFonts w:asciiTheme="majorHAnsi" w:hAnsiTheme="majorHAnsi"/>
                <w:color w:val="2F2B20" w:themeColor="background1"/>
                <w:lang w:val="en-GB"/>
              </w:rPr>
            </w:pPr>
            <w:r w:rsidRPr="002C1C62">
              <w:rPr>
                <w:rFonts w:asciiTheme="majorHAnsi" w:hAnsiTheme="majorHAnsi"/>
                <w:color w:val="2F2B20" w:themeColor="background1"/>
                <w:lang w:val="en-GB"/>
              </w:rPr>
              <w:t xml:space="preserve">The DVC undertakes institutional level tracking, works with the Deans and the Director of the CPGS to ensure that HDR students are well supported and that a strong research culture is nurtured across the university. </w:t>
            </w:r>
          </w:p>
          <w:p w14:paraId="5646E349" w14:textId="17F32427" w:rsidR="00CB2695" w:rsidRPr="002C1C62" w:rsidRDefault="00CB2695" w:rsidP="00442706">
            <w:pPr>
              <w:pStyle w:val="ListParagraph"/>
              <w:widowControl w:val="0"/>
              <w:numPr>
                <w:ilvl w:val="0"/>
                <w:numId w:val="8"/>
              </w:numPr>
              <w:spacing w:before="80" w:after="80"/>
              <w:rPr>
                <w:rFonts w:asciiTheme="majorHAnsi" w:hAnsiTheme="majorHAnsi"/>
                <w:color w:val="2F2B20" w:themeColor="background1"/>
                <w:lang w:val="en-GB"/>
              </w:rPr>
            </w:pPr>
            <w:r w:rsidRPr="002C1C62">
              <w:rPr>
                <w:rFonts w:asciiTheme="majorHAnsi" w:hAnsiTheme="majorHAnsi"/>
                <w:color w:val="2F2B20" w:themeColor="background1"/>
                <w:lang w:val="en-GB"/>
              </w:rPr>
              <w:t xml:space="preserve">In the case of disputes, the DVC: Research has responsibility for intervening where </w:t>
            </w:r>
            <w:r w:rsidR="00CD5A4B" w:rsidRPr="002C1C62">
              <w:rPr>
                <w:rFonts w:asciiTheme="majorHAnsi" w:hAnsiTheme="majorHAnsi"/>
                <w:color w:val="2F2B20" w:themeColor="background1"/>
                <w:lang w:val="en-GB"/>
              </w:rPr>
              <w:t>necessary and to appoint any other person or committee to address such disputes as the DVC may deem necessary.</w:t>
            </w:r>
          </w:p>
        </w:tc>
      </w:tr>
      <w:tr w:rsidR="002C1C62" w:rsidRPr="002C1C62" w14:paraId="77876A85" w14:textId="77777777" w:rsidTr="006A38DB">
        <w:trPr>
          <w:trHeight w:val="747"/>
        </w:trPr>
        <w:tc>
          <w:tcPr>
            <w:tcW w:w="2023" w:type="dxa"/>
          </w:tcPr>
          <w:p w14:paraId="7C4A9539" w14:textId="385D768D" w:rsidR="00594FA8" w:rsidRPr="002C1C62" w:rsidRDefault="00CB2695" w:rsidP="002B2C32">
            <w:pPr>
              <w:widowControl w:val="0"/>
              <w:spacing w:before="80" w:after="80"/>
              <w:rPr>
                <w:rFonts w:asciiTheme="majorHAnsi" w:hAnsiTheme="majorHAnsi"/>
                <w:b/>
                <w:color w:val="2F2B20" w:themeColor="background1"/>
              </w:rPr>
            </w:pPr>
            <w:r w:rsidRPr="002C1C62">
              <w:rPr>
                <w:rFonts w:asciiTheme="majorHAnsi" w:hAnsiTheme="majorHAnsi"/>
                <w:b/>
                <w:color w:val="2F2B20" w:themeColor="background1"/>
              </w:rPr>
              <w:t>Role 7</w:t>
            </w:r>
          </w:p>
        </w:tc>
        <w:tc>
          <w:tcPr>
            <w:tcW w:w="7945" w:type="dxa"/>
          </w:tcPr>
          <w:p w14:paraId="210E7B3C" w14:textId="77777777" w:rsidR="00594FA8" w:rsidRPr="002C1C62" w:rsidRDefault="00594FA8" w:rsidP="002B2C32">
            <w:pPr>
              <w:widowControl w:val="0"/>
              <w:spacing w:before="80" w:after="80"/>
              <w:rPr>
                <w:rFonts w:asciiTheme="majorHAnsi" w:hAnsiTheme="majorHAnsi"/>
                <w:b/>
                <w:color w:val="2F2B20" w:themeColor="background1"/>
                <w:lang w:val="en-GB"/>
              </w:rPr>
            </w:pPr>
            <w:r w:rsidRPr="002C1C62">
              <w:rPr>
                <w:rFonts w:asciiTheme="majorHAnsi" w:hAnsiTheme="majorHAnsi"/>
                <w:b/>
                <w:color w:val="2F2B20" w:themeColor="background1"/>
                <w:lang w:val="en-GB"/>
              </w:rPr>
              <w:t>HDC</w:t>
            </w:r>
          </w:p>
          <w:p w14:paraId="544BB5B9" w14:textId="4AF885B4" w:rsidR="00594FA8" w:rsidRPr="002C1C62" w:rsidRDefault="00594FA8" w:rsidP="002B2C32">
            <w:pPr>
              <w:widowControl w:val="0"/>
              <w:spacing w:before="80" w:after="80"/>
              <w:rPr>
                <w:rFonts w:asciiTheme="majorHAnsi" w:hAnsiTheme="majorHAnsi"/>
                <w:b/>
                <w:color w:val="2F2B20" w:themeColor="background1"/>
                <w:lang w:val="en-GB"/>
              </w:rPr>
            </w:pPr>
          </w:p>
        </w:tc>
      </w:tr>
      <w:tr w:rsidR="002C1C62" w:rsidRPr="002C1C62" w14:paraId="134E27E7" w14:textId="77777777" w:rsidTr="00AC1BB2">
        <w:trPr>
          <w:trHeight w:val="747"/>
        </w:trPr>
        <w:tc>
          <w:tcPr>
            <w:tcW w:w="9968" w:type="dxa"/>
            <w:gridSpan w:val="2"/>
          </w:tcPr>
          <w:p w14:paraId="67063597" w14:textId="58CFD326" w:rsidR="00A36C81" w:rsidRPr="002C1C62" w:rsidRDefault="00CB2695" w:rsidP="00442706">
            <w:pPr>
              <w:pStyle w:val="ListParagraph"/>
              <w:widowControl w:val="0"/>
              <w:numPr>
                <w:ilvl w:val="0"/>
                <w:numId w:val="9"/>
              </w:numPr>
              <w:spacing w:before="80" w:after="80"/>
              <w:rPr>
                <w:rFonts w:asciiTheme="majorHAnsi" w:hAnsiTheme="majorHAnsi"/>
                <w:color w:val="2F2B20" w:themeColor="background1"/>
                <w:lang w:val="en-GB"/>
              </w:rPr>
            </w:pPr>
            <w:r w:rsidRPr="002C1C62">
              <w:rPr>
                <w:rFonts w:asciiTheme="majorHAnsi" w:hAnsiTheme="majorHAnsi"/>
                <w:color w:val="2F2B20" w:themeColor="background1"/>
                <w:lang w:val="en-GB"/>
              </w:rPr>
              <w:t xml:space="preserve">The Higher Degrees Committee provides </w:t>
            </w:r>
            <w:r w:rsidR="00CD5A4B" w:rsidRPr="002C1C62">
              <w:rPr>
                <w:rFonts w:asciiTheme="majorHAnsi" w:hAnsiTheme="majorHAnsi"/>
                <w:color w:val="2F2B20" w:themeColor="background1"/>
                <w:lang w:val="en-GB"/>
              </w:rPr>
              <w:t xml:space="preserve">an </w:t>
            </w:r>
            <w:r w:rsidRPr="002C1C62">
              <w:rPr>
                <w:rFonts w:asciiTheme="majorHAnsi" w:hAnsiTheme="majorHAnsi"/>
                <w:color w:val="2F2B20" w:themeColor="background1"/>
                <w:lang w:val="en-GB"/>
              </w:rPr>
              <w:t>academically rigorous engagement with proposed HDR research prior to such research being u</w:t>
            </w:r>
            <w:r w:rsidR="00CD5A4B" w:rsidRPr="002C1C62">
              <w:rPr>
                <w:rFonts w:asciiTheme="majorHAnsi" w:hAnsiTheme="majorHAnsi"/>
                <w:color w:val="2F2B20" w:themeColor="background1"/>
                <w:lang w:val="en-GB"/>
              </w:rPr>
              <w:t>ndertaken</w:t>
            </w:r>
            <w:r w:rsidR="00470432" w:rsidRPr="002C1C62">
              <w:rPr>
                <w:rFonts w:asciiTheme="majorHAnsi" w:hAnsiTheme="majorHAnsi"/>
                <w:color w:val="2F2B20" w:themeColor="background1"/>
                <w:lang w:val="en-GB"/>
              </w:rPr>
              <w:t>. This should be done</w:t>
            </w:r>
            <w:r w:rsidR="00CD5A4B" w:rsidRPr="002C1C62">
              <w:rPr>
                <w:rFonts w:asciiTheme="majorHAnsi" w:hAnsiTheme="majorHAnsi"/>
                <w:color w:val="2F2B20" w:themeColor="background1"/>
                <w:lang w:val="en-GB"/>
              </w:rPr>
              <w:t xml:space="preserve"> in a manner that is</w:t>
            </w:r>
            <w:r w:rsidRPr="002C1C62">
              <w:rPr>
                <w:rFonts w:asciiTheme="majorHAnsi" w:hAnsiTheme="majorHAnsi"/>
                <w:color w:val="2F2B20" w:themeColor="background1"/>
                <w:lang w:val="en-GB"/>
              </w:rPr>
              <w:t xml:space="preserve"> collegial and developmental for both supervisor/s and HDR students. </w:t>
            </w:r>
          </w:p>
          <w:p w14:paraId="0BA565AA" w14:textId="38FE2B1A" w:rsidR="00CB2695" w:rsidRPr="002C1C62" w:rsidRDefault="00CB2695" w:rsidP="00442706">
            <w:pPr>
              <w:pStyle w:val="ListParagraph"/>
              <w:widowControl w:val="0"/>
              <w:numPr>
                <w:ilvl w:val="0"/>
                <w:numId w:val="9"/>
              </w:numPr>
              <w:spacing w:before="80" w:after="80"/>
              <w:rPr>
                <w:rFonts w:asciiTheme="majorHAnsi" w:hAnsiTheme="majorHAnsi"/>
                <w:color w:val="2F2B20" w:themeColor="background1"/>
                <w:lang w:val="en-GB"/>
              </w:rPr>
            </w:pPr>
            <w:r w:rsidRPr="002C1C62">
              <w:rPr>
                <w:rFonts w:asciiTheme="majorHAnsi" w:hAnsiTheme="majorHAnsi"/>
                <w:color w:val="2F2B20" w:themeColor="background1"/>
                <w:lang w:val="en-GB"/>
              </w:rPr>
              <w:t xml:space="preserve">This complex process of assuring the quality of HDR studies is through the provision of supportive and useful feedback which safeguards our </w:t>
            </w:r>
            <w:r w:rsidR="002C77D9" w:rsidRPr="002C1C62">
              <w:rPr>
                <w:rFonts w:asciiTheme="majorHAnsi" w:hAnsiTheme="majorHAnsi"/>
                <w:color w:val="2F2B20" w:themeColor="background1"/>
                <w:lang w:val="en-GB"/>
              </w:rPr>
              <w:t xml:space="preserve">HDR students and </w:t>
            </w:r>
            <w:r w:rsidRPr="002C1C62">
              <w:rPr>
                <w:rFonts w:asciiTheme="majorHAnsi" w:hAnsiTheme="majorHAnsi"/>
                <w:color w:val="2F2B20" w:themeColor="background1"/>
                <w:lang w:val="en-GB"/>
              </w:rPr>
              <w:t>colleagues by ensuring that the committee believes that the proposed study is do-able, meaningful and ethically sound and that the HDR candidate has the necessary expertise to implement the proposed study.</w:t>
            </w:r>
          </w:p>
          <w:p w14:paraId="3125D44C" w14:textId="6339DF48" w:rsidR="002C77D9" w:rsidRPr="002C1C62" w:rsidRDefault="002C77D9" w:rsidP="00442706">
            <w:pPr>
              <w:pStyle w:val="ListParagraph"/>
              <w:widowControl w:val="0"/>
              <w:numPr>
                <w:ilvl w:val="0"/>
                <w:numId w:val="9"/>
              </w:numPr>
              <w:spacing w:before="80" w:after="80"/>
              <w:rPr>
                <w:rFonts w:asciiTheme="majorHAnsi" w:hAnsiTheme="majorHAnsi"/>
                <w:color w:val="2F2B20" w:themeColor="background1"/>
                <w:lang w:val="en-GB"/>
              </w:rPr>
            </w:pPr>
            <w:r w:rsidRPr="002C1C62">
              <w:rPr>
                <w:rFonts w:asciiTheme="majorHAnsi" w:hAnsiTheme="majorHAnsi"/>
                <w:color w:val="2F2B20" w:themeColor="background1"/>
                <w:lang w:val="en-GB"/>
              </w:rPr>
              <w:t>It is imperative that the record keeping is rigorous and specifies the basis of HDC decisions.</w:t>
            </w:r>
          </w:p>
        </w:tc>
      </w:tr>
    </w:tbl>
    <w:p w14:paraId="3E37B3A9" w14:textId="77777777" w:rsidR="002C77D9" w:rsidRPr="002C1C62" w:rsidRDefault="002C77D9" w:rsidP="002B2C32">
      <w:pPr>
        <w:spacing w:before="80" w:after="80"/>
        <w:rPr>
          <w:rFonts w:asciiTheme="majorHAnsi" w:hAnsiTheme="majorHAnsi"/>
          <w:color w:val="2F2B20" w:themeColor="background1"/>
          <w:highlight w:val="yellow"/>
        </w:rPr>
      </w:pPr>
    </w:p>
    <w:p w14:paraId="235F5A18" w14:textId="1B59CBAD" w:rsidR="00000D65" w:rsidRPr="002C1C62" w:rsidRDefault="002C77D9" w:rsidP="002B2C32">
      <w:pPr>
        <w:spacing w:before="80" w:after="80"/>
        <w:rPr>
          <w:rFonts w:asciiTheme="majorHAnsi" w:hAnsiTheme="majorHAnsi"/>
          <w:color w:val="2F2B20" w:themeColor="background1"/>
        </w:rPr>
      </w:pPr>
      <w:r w:rsidRPr="002C1C62">
        <w:rPr>
          <w:rFonts w:asciiTheme="majorHAnsi" w:hAnsiTheme="majorHAnsi"/>
          <w:color w:val="2F2B20" w:themeColor="background1"/>
        </w:rPr>
        <w:t>REFERENCES</w:t>
      </w:r>
    </w:p>
    <w:p w14:paraId="21D5CC4E" w14:textId="6668DA8F" w:rsidR="00395A9E" w:rsidRPr="00395A9E" w:rsidRDefault="00395A9E" w:rsidP="00662BBE">
      <w:pPr>
        <w:ind w:left="720" w:hanging="720"/>
        <w:rPr>
          <w:rFonts w:asciiTheme="majorHAnsi" w:hAnsiTheme="majorHAnsi"/>
          <w:color w:val="2F2B20" w:themeColor="background1"/>
        </w:rPr>
      </w:pPr>
      <w:r w:rsidRPr="00395A9E">
        <w:rPr>
          <w:rFonts w:asciiTheme="majorHAnsi" w:hAnsiTheme="majorHAnsi"/>
          <w:color w:val="2F2B20" w:themeColor="background1"/>
        </w:rPr>
        <w:t>Academy of Science of South Africa. (</w:t>
      </w:r>
      <w:r w:rsidRPr="002C1C62">
        <w:rPr>
          <w:rFonts w:asciiTheme="majorHAnsi" w:hAnsiTheme="majorHAnsi"/>
          <w:color w:val="2F2B20" w:themeColor="background1"/>
        </w:rPr>
        <w:t>2010</w:t>
      </w:r>
      <w:r w:rsidRPr="00395A9E">
        <w:rPr>
          <w:rFonts w:asciiTheme="majorHAnsi" w:hAnsiTheme="majorHAnsi"/>
          <w:color w:val="2F2B20" w:themeColor="background1"/>
        </w:rPr>
        <w:t xml:space="preserve">). The PhD study: Consensus report. Pretoria: </w:t>
      </w:r>
      <w:r w:rsidR="00662BBE" w:rsidRPr="002C1C62">
        <w:rPr>
          <w:rFonts w:asciiTheme="majorHAnsi" w:hAnsiTheme="majorHAnsi"/>
          <w:color w:val="2F2B20" w:themeColor="background1"/>
        </w:rPr>
        <w:t>ASSAf</w:t>
      </w:r>
    </w:p>
    <w:p w14:paraId="30D6A1D8" w14:textId="05A47E17" w:rsidR="00395A9E" w:rsidRPr="00395A9E" w:rsidRDefault="00395A9E" w:rsidP="00662BBE">
      <w:pPr>
        <w:ind w:left="720" w:hanging="720"/>
        <w:rPr>
          <w:rFonts w:asciiTheme="majorHAnsi" w:hAnsiTheme="majorHAnsi"/>
          <w:color w:val="2F2B20" w:themeColor="background1"/>
        </w:rPr>
      </w:pPr>
      <w:r w:rsidRPr="00395A9E">
        <w:rPr>
          <w:rFonts w:asciiTheme="majorHAnsi" w:hAnsiTheme="majorHAnsi"/>
          <w:color w:val="2F2B20" w:themeColor="background1"/>
        </w:rPr>
        <w:t>Backhouse, J. (</w:t>
      </w:r>
      <w:r w:rsidRPr="002C1C62">
        <w:rPr>
          <w:rFonts w:asciiTheme="majorHAnsi" w:hAnsiTheme="majorHAnsi"/>
          <w:color w:val="2F2B20" w:themeColor="background1"/>
        </w:rPr>
        <w:t>2010</w:t>
      </w:r>
      <w:r w:rsidRPr="00395A9E">
        <w:rPr>
          <w:rFonts w:asciiTheme="majorHAnsi" w:hAnsiTheme="majorHAnsi"/>
          <w:color w:val="2F2B20" w:themeColor="background1"/>
        </w:rPr>
        <w:t>). Patterns of practice in South African doctoral education: An empirical study. Acta Academica</w:t>
      </w:r>
      <w:r w:rsidR="00662BBE" w:rsidRPr="002C1C62">
        <w:rPr>
          <w:rFonts w:asciiTheme="majorHAnsi" w:hAnsiTheme="majorHAnsi"/>
          <w:color w:val="2F2B20" w:themeColor="background1"/>
        </w:rPr>
        <w:t xml:space="preserve"> </w:t>
      </w:r>
      <w:r w:rsidRPr="00395A9E">
        <w:rPr>
          <w:rFonts w:asciiTheme="majorHAnsi" w:hAnsiTheme="majorHAnsi"/>
          <w:color w:val="2F2B20" w:themeColor="background1"/>
        </w:rPr>
        <w:t>Supplementum, 1, 1–22.</w:t>
      </w:r>
    </w:p>
    <w:p w14:paraId="1F17A107" w14:textId="486514B0" w:rsidR="00662BBE" w:rsidRPr="00662BBE" w:rsidRDefault="00662BBE" w:rsidP="00662BBE">
      <w:pPr>
        <w:pStyle w:val="p1"/>
        <w:ind w:left="720" w:hanging="720"/>
        <w:rPr>
          <w:rFonts w:asciiTheme="majorHAnsi" w:hAnsiTheme="majorHAnsi"/>
          <w:color w:val="2F2B20" w:themeColor="background1"/>
          <w:sz w:val="22"/>
          <w:szCs w:val="22"/>
        </w:rPr>
      </w:pPr>
      <w:r w:rsidRPr="002C1C62">
        <w:rPr>
          <w:rFonts w:asciiTheme="majorHAnsi" w:hAnsiTheme="majorHAnsi"/>
          <w:color w:val="2F2B20" w:themeColor="background1"/>
          <w:sz w:val="22"/>
          <w:szCs w:val="22"/>
        </w:rPr>
        <w:t xml:space="preserve">Cloete, N., Mouton, J. and Sheppard, C. (2015) </w:t>
      </w:r>
      <w:r w:rsidRPr="00662BBE">
        <w:rPr>
          <w:rFonts w:asciiTheme="majorHAnsi" w:hAnsiTheme="majorHAnsi"/>
          <w:color w:val="2F2B20" w:themeColor="background1"/>
          <w:sz w:val="22"/>
          <w:szCs w:val="22"/>
        </w:rPr>
        <w:t>Doctoral Education in South Africa</w:t>
      </w:r>
      <w:r w:rsidRPr="002C1C62">
        <w:rPr>
          <w:rFonts w:asciiTheme="majorHAnsi" w:hAnsiTheme="majorHAnsi"/>
          <w:color w:val="2F2B20" w:themeColor="background1"/>
          <w:sz w:val="22"/>
          <w:szCs w:val="22"/>
        </w:rPr>
        <w:t xml:space="preserve">: </w:t>
      </w:r>
      <w:r w:rsidRPr="00662BBE">
        <w:rPr>
          <w:rFonts w:asciiTheme="majorHAnsi" w:hAnsiTheme="majorHAnsi"/>
          <w:color w:val="2F2B20" w:themeColor="background1"/>
          <w:sz w:val="22"/>
          <w:szCs w:val="22"/>
        </w:rPr>
        <w:t>Policy, Discourse and Data</w:t>
      </w:r>
      <w:r w:rsidRPr="002C1C62">
        <w:rPr>
          <w:rFonts w:asciiTheme="majorHAnsi" w:hAnsiTheme="majorHAnsi"/>
          <w:color w:val="2F2B20" w:themeColor="background1"/>
          <w:sz w:val="22"/>
          <w:szCs w:val="22"/>
        </w:rPr>
        <w:t>. Cape Town: African Minds</w:t>
      </w:r>
    </w:p>
    <w:p w14:paraId="70B1428A" w14:textId="5682A95A" w:rsidR="00662BBE" w:rsidRPr="002C1C62" w:rsidRDefault="00662BBE" w:rsidP="00662BBE">
      <w:pPr>
        <w:pStyle w:val="p1"/>
        <w:ind w:left="720" w:hanging="720"/>
        <w:rPr>
          <w:rFonts w:asciiTheme="majorHAnsi" w:hAnsiTheme="majorHAnsi"/>
          <w:color w:val="2F2B20" w:themeColor="background1"/>
          <w:sz w:val="22"/>
          <w:szCs w:val="22"/>
        </w:rPr>
      </w:pPr>
      <w:r w:rsidRPr="002C1C62">
        <w:rPr>
          <w:rFonts w:asciiTheme="majorHAnsi" w:hAnsiTheme="majorHAnsi"/>
          <w:color w:val="2F2B20" w:themeColor="background1"/>
          <w:sz w:val="22"/>
          <w:szCs w:val="22"/>
        </w:rPr>
        <w:t>Council on Higher Education (2004) Criteria for Programme Accreditation. Pretoria: CHE</w:t>
      </w:r>
    </w:p>
    <w:p w14:paraId="247E4895" w14:textId="09B263CA" w:rsidR="00662BBE" w:rsidRPr="002C1C62" w:rsidRDefault="00662BBE" w:rsidP="00662BBE">
      <w:pPr>
        <w:pStyle w:val="p1"/>
        <w:ind w:left="720" w:hanging="720"/>
        <w:rPr>
          <w:rFonts w:asciiTheme="majorHAnsi" w:hAnsiTheme="majorHAnsi"/>
          <w:color w:val="2F2B20" w:themeColor="background1"/>
          <w:sz w:val="22"/>
          <w:szCs w:val="22"/>
        </w:rPr>
      </w:pPr>
      <w:r w:rsidRPr="002C1C62">
        <w:rPr>
          <w:rFonts w:asciiTheme="majorHAnsi" w:hAnsiTheme="majorHAnsi"/>
          <w:color w:val="2F2B20" w:themeColor="background1"/>
          <w:sz w:val="22"/>
          <w:szCs w:val="22"/>
        </w:rPr>
        <w:t>Department of Higher Education and Training (2012) Higher Education Qualifications Sub-Framework. Notice No 549, Government Gazette No. 36721, 2 August 2013</w:t>
      </w:r>
    </w:p>
    <w:p w14:paraId="11D13A48" w14:textId="1BB33022" w:rsidR="00395A9E" w:rsidRPr="00395A9E" w:rsidRDefault="00395A9E" w:rsidP="00662BBE">
      <w:pPr>
        <w:ind w:left="720" w:hanging="720"/>
        <w:rPr>
          <w:rFonts w:asciiTheme="majorHAnsi" w:hAnsiTheme="majorHAnsi"/>
          <w:color w:val="2F2B20" w:themeColor="background1"/>
        </w:rPr>
      </w:pPr>
      <w:r w:rsidRPr="00395A9E">
        <w:rPr>
          <w:rFonts w:asciiTheme="majorHAnsi" w:hAnsiTheme="majorHAnsi"/>
          <w:color w:val="2F2B20" w:themeColor="background1"/>
        </w:rPr>
        <w:t>Lotz-Sisitka, H., Ellery, K., Olvitt, L., Schudel, I., &amp; O’Donoghue, R. (</w:t>
      </w:r>
      <w:r w:rsidRPr="002C1C62">
        <w:rPr>
          <w:rFonts w:asciiTheme="majorHAnsi" w:hAnsiTheme="majorHAnsi"/>
          <w:color w:val="2F2B20" w:themeColor="background1"/>
        </w:rPr>
        <w:t>2010</w:t>
      </w:r>
      <w:r w:rsidRPr="00395A9E">
        <w:rPr>
          <w:rFonts w:asciiTheme="majorHAnsi" w:hAnsiTheme="majorHAnsi"/>
          <w:color w:val="2F2B20" w:themeColor="background1"/>
        </w:rPr>
        <w:t>). Cultivating a scholarly community of practice. Acta</w:t>
      </w:r>
      <w:r w:rsidR="00662BBE" w:rsidRPr="002C1C62">
        <w:rPr>
          <w:rFonts w:asciiTheme="majorHAnsi" w:hAnsiTheme="majorHAnsi"/>
          <w:color w:val="2F2B20" w:themeColor="background1"/>
        </w:rPr>
        <w:t xml:space="preserve"> </w:t>
      </w:r>
      <w:r w:rsidRPr="00395A9E">
        <w:rPr>
          <w:rFonts w:asciiTheme="majorHAnsi" w:hAnsiTheme="majorHAnsi"/>
          <w:color w:val="2F2B20" w:themeColor="background1"/>
        </w:rPr>
        <w:t>Academica, 1, 130–150.</w:t>
      </w:r>
    </w:p>
    <w:p w14:paraId="7ABC0D48" w14:textId="648E529A" w:rsidR="00662BBE" w:rsidRPr="002C1C62" w:rsidRDefault="00662BBE" w:rsidP="00662BBE">
      <w:pPr>
        <w:pStyle w:val="p1"/>
        <w:ind w:left="720" w:hanging="720"/>
        <w:rPr>
          <w:rFonts w:asciiTheme="majorHAnsi" w:hAnsiTheme="majorHAnsi"/>
          <w:color w:val="2F2B20" w:themeColor="background1"/>
          <w:sz w:val="22"/>
          <w:szCs w:val="22"/>
        </w:rPr>
      </w:pPr>
      <w:r w:rsidRPr="002C1C62">
        <w:rPr>
          <w:rFonts w:asciiTheme="majorHAnsi" w:hAnsiTheme="majorHAnsi"/>
          <w:color w:val="2F2B20" w:themeColor="background1"/>
          <w:sz w:val="22"/>
          <w:szCs w:val="22"/>
        </w:rPr>
        <w:t xml:space="preserve">Grant, B. (2008) Agonistic Struggle: Master--slave dialogues in humanities supervision </w:t>
      </w:r>
      <w:r w:rsidRPr="002C1C62">
        <w:rPr>
          <w:rFonts w:asciiTheme="majorHAnsi" w:hAnsiTheme="majorHAnsi"/>
          <w:i/>
          <w:color w:val="2F2B20" w:themeColor="background1"/>
          <w:sz w:val="22"/>
          <w:szCs w:val="22"/>
        </w:rPr>
        <w:t>Arts and Humanities in Higher Education</w:t>
      </w:r>
      <w:r w:rsidRPr="002C1C62">
        <w:rPr>
          <w:rFonts w:asciiTheme="majorHAnsi" w:hAnsiTheme="majorHAnsi"/>
          <w:color w:val="2F2B20" w:themeColor="background1"/>
          <w:sz w:val="22"/>
          <w:szCs w:val="22"/>
        </w:rPr>
        <w:t xml:space="preserve"> 7: 9</w:t>
      </w:r>
    </w:p>
    <w:p w14:paraId="4F743495" w14:textId="77777777" w:rsidR="00395A9E" w:rsidRPr="00395A9E" w:rsidRDefault="00395A9E" w:rsidP="00662BBE">
      <w:pPr>
        <w:ind w:left="720" w:hanging="720"/>
        <w:rPr>
          <w:rFonts w:asciiTheme="majorHAnsi" w:hAnsiTheme="majorHAnsi"/>
          <w:color w:val="2F2B20" w:themeColor="background1"/>
        </w:rPr>
      </w:pPr>
      <w:r w:rsidRPr="00395A9E">
        <w:rPr>
          <w:rFonts w:asciiTheme="majorHAnsi" w:hAnsiTheme="majorHAnsi"/>
          <w:color w:val="2F2B20" w:themeColor="background1"/>
        </w:rPr>
        <w:t>Harrison, E. (</w:t>
      </w:r>
      <w:r w:rsidRPr="002C1C62">
        <w:rPr>
          <w:rFonts w:asciiTheme="majorHAnsi" w:hAnsiTheme="majorHAnsi"/>
          <w:color w:val="2F2B20" w:themeColor="background1"/>
        </w:rPr>
        <w:t>2012</w:t>
      </w:r>
      <w:r w:rsidRPr="00395A9E">
        <w:rPr>
          <w:rFonts w:asciiTheme="majorHAnsi" w:hAnsiTheme="majorHAnsi"/>
          <w:color w:val="2F2B20" w:themeColor="background1"/>
        </w:rPr>
        <w:t>). PaperHeaDs: Living doctoral study, developing doctoral identity. Oxford: Peter Lang Publishers.</w:t>
      </w:r>
    </w:p>
    <w:p w14:paraId="1C60B138" w14:textId="77777777" w:rsidR="00662BBE" w:rsidRPr="00662BBE" w:rsidRDefault="00395A9E" w:rsidP="00662BBE">
      <w:pPr>
        <w:pStyle w:val="p1"/>
        <w:ind w:left="720" w:hanging="720"/>
        <w:rPr>
          <w:rFonts w:asciiTheme="majorHAnsi" w:hAnsiTheme="majorHAnsi"/>
          <w:color w:val="2F2B20" w:themeColor="background1"/>
          <w:sz w:val="22"/>
          <w:szCs w:val="22"/>
        </w:rPr>
      </w:pPr>
      <w:r w:rsidRPr="002C1C62">
        <w:rPr>
          <w:rFonts w:asciiTheme="majorHAnsi" w:hAnsiTheme="majorHAnsi"/>
          <w:color w:val="2F2B20" w:themeColor="background1"/>
          <w:sz w:val="22"/>
          <w:szCs w:val="22"/>
        </w:rPr>
        <w:t>Manathunga</w:t>
      </w:r>
      <w:r w:rsidR="00662BBE" w:rsidRPr="002C1C62">
        <w:rPr>
          <w:rFonts w:asciiTheme="majorHAnsi" w:hAnsiTheme="majorHAnsi"/>
          <w:color w:val="2F2B20" w:themeColor="background1"/>
          <w:sz w:val="22"/>
          <w:szCs w:val="22"/>
        </w:rPr>
        <w:t>, C.</w:t>
      </w:r>
      <w:r w:rsidRPr="002C1C62">
        <w:rPr>
          <w:rFonts w:asciiTheme="majorHAnsi" w:hAnsiTheme="majorHAnsi"/>
          <w:color w:val="2F2B20" w:themeColor="background1"/>
          <w:sz w:val="22"/>
          <w:szCs w:val="22"/>
        </w:rPr>
        <w:t xml:space="preserve"> and Gooz</w:t>
      </w:r>
      <w:r w:rsidR="00662BBE" w:rsidRPr="002C1C62">
        <w:rPr>
          <w:rFonts w:asciiTheme="majorHAnsi" w:hAnsiTheme="majorHAnsi"/>
          <w:color w:val="2F2B20" w:themeColor="background1"/>
          <w:sz w:val="22"/>
          <w:szCs w:val="22"/>
        </w:rPr>
        <w:t>é</w:t>
      </w:r>
      <w:r w:rsidRPr="002C1C62">
        <w:rPr>
          <w:rFonts w:asciiTheme="majorHAnsi" w:hAnsiTheme="majorHAnsi"/>
          <w:color w:val="2F2B20" w:themeColor="background1"/>
          <w:sz w:val="22"/>
          <w:szCs w:val="22"/>
        </w:rPr>
        <w:t>e</w:t>
      </w:r>
      <w:r w:rsidR="00662BBE" w:rsidRPr="002C1C62">
        <w:rPr>
          <w:rFonts w:asciiTheme="majorHAnsi" w:hAnsiTheme="majorHAnsi"/>
          <w:color w:val="2F2B20" w:themeColor="background1"/>
          <w:sz w:val="22"/>
          <w:szCs w:val="22"/>
        </w:rPr>
        <w:t>, J. (</w:t>
      </w:r>
      <w:r w:rsidRPr="002C1C62">
        <w:rPr>
          <w:rFonts w:asciiTheme="majorHAnsi" w:hAnsiTheme="majorHAnsi"/>
          <w:color w:val="2F2B20" w:themeColor="background1"/>
          <w:sz w:val="22"/>
          <w:szCs w:val="22"/>
        </w:rPr>
        <w:t>2007)</w:t>
      </w:r>
      <w:r w:rsidR="00662BBE" w:rsidRPr="002C1C62">
        <w:rPr>
          <w:rFonts w:asciiTheme="majorHAnsi" w:hAnsiTheme="majorHAnsi"/>
          <w:color w:val="2F2B20" w:themeColor="background1"/>
          <w:sz w:val="22"/>
          <w:szCs w:val="22"/>
        </w:rPr>
        <w:t xml:space="preserve"> Challenging the dual assumption of the </w:t>
      </w:r>
      <w:r w:rsidR="00662BBE" w:rsidRPr="00662BBE">
        <w:rPr>
          <w:rFonts w:asciiTheme="majorHAnsi" w:hAnsiTheme="majorHAnsi"/>
          <w:color w:val="2F2B20" w:themeColor="background1"/>
          <w:sz w:val="22"/>
          <w:szCs w:val="22"/>
        </w:rPr>
        <w:t>‘always/already’ autonomous student</w:t>
      </w:r>
      <w:r w:rsidR="00662BBE" w:rsidRPr="002C1C62">
        <w:rPr>
          <w:rFonts w:asciiTheme="majorHAnsi" w:hAnsiTheme="majorHAnsi"/>
          <w:color w:val="2F2B20" w:themeColor="background1"/>
          <w:sz w:val="22"/>
          <w:szCs w:val="22"/>
        </w:rPr>
        <w:t xml:space="preserve"> </w:t>
      </w:r>
      <w:r w:rsidR="00662BBE" w:rsidRPr="00662BBE">
        <w:rPr>
          <w:rFonts w:asciiTheme="majorHAnsi" w:hAnsiTheme="majorHAnsi"/>
          <w:color w:val="2F2B20" w:themeColor="background1"/>
          <w:sz w:val="22"/>
          <w:szCs w:val="22"/>
        </w:rPr>
        <w:t>and effective supervisor</w:t>
      </w:r>
      <w:r w:rsidR="00662BBE" w:rsidRPr="002C1C62">
        <w:rPr>
          <w:rFonts w:asciiTheme="majorHAnsi" w:hAnsiTheme="majorHAnsi"/>
          <w:color w:val="2F2B20" w:themeColor="background1"/>
          <w:sz w:val="22"/>
          <w:szCs w:val="22"/>
        </w:rPr>
        <w:t xml:space="preserve"> </w:t>
      </w:r>
      <w:r w:rsidR="00662BBE" w:rsidRPr="002C1C62">
        <w:rPr>
          <w:rFonts w:asciiTheme="majorHAnsi" w:hAnsiTheme="majorHAnsi"/>
          <w:i/>
          <w:color w:val="2F2B20" w:themeColor="background1"/>
          <w:sz w:val="22"/>
          <w:szCs w:val="22"/>
        </w:rPr>
        <w:t xml:space="preserve">Teaching in Higher Education </w:t>
      </w:r>
      <w:r w:rsidR="00662BBE" w:rsidRPr="00662BBE">
        <w:rPr>
          <w:rFonts w:asciiTheme="majorHAnsi" w:hAnsiTheme="majorHAnsi"/>
          <w:color w:val="2F2B20" w:themeColor="background1"/>
          <w:sz w:val="22"/>
          <w:szCs w:val="22"/>
        </w:rPr>
        <w:t>12</w:t>
      </w:r>
      <w:r w:rsidR="00662BBE" w:rsidRPr="002C1C62">
        <w:rPr>
          <w:rFonts w:asciiTheme="majorHAnsi" w:hAnsiTheme="majorHAnsi"/>
          <w:color w:val="2F2B20" w:themeColor="background1"/>
          <w:sz w:val="22"/>
          <w:szCs w:val="22"/>
        </w:rPr>
        <w:t>: 3</w:t>
      </w:r>
    </w:p>
    <w:p w14:paraId="741B8F0E" w14:textId="77777777" w:rsidR="00662BBE" w:rsidRPr="00395A9E" w:rsidRDefault="00662BBE" w:rsidP="00662BBE">
      <w:pPr>
        <w:ind w:left="720" w:hanging="720"/>
        <w:rPr>
          <w:rFonts w:asciiTheme="majorHAnsi" w:hAnsiTheme="majorHAnsi"/>
          <w:color w:val="2F2B20" w:themeColor="background1"/>
        </w:rPr>
      </w:pPr>
      <w:r w:rsidRPr="00395A9E">
        <w:rPr>
          <w:rFonts w:asciiTheme="majorHAnsi" w:hAnsiTheme="majorHAnsi"/>
          <w:color w:val="2F2B20" w:themeColor="background1"/>
        </w:rPr>
        <w:t>McKenna</w:t>
      </w:r>
      <w:r w:rsidRPr="002C1C62">
        <w:rPr>
          <w:rFonts w:asciiTheme="majorHAnsi" w:hAnsiTheme="majorHAnsi"/>
          <w:color w:val="2F2B20" w:themeColor="background1"/>
        </w:rPr>
        <w:t>, S.</w:t>
      </w:r>
      <w:r w:rsidRPr="00395A9E">
        <w:rPr>
          <w:rFonts w:asciiTheme="majorHAnsi" w:hAnsiTheme="majorHAnsi"/>
          <w:color w:val="2F2B20" w:themeColor="background1"/>
        </w:rPr>
        <w:t xml:space="preserve"> (2016): Crossing conceptual thresholds in</w:t>
      </w:r>
      <w:r w:rsidRPr="002C1C62">
        <w:rPr>
          <w:rFonts w:asciiTheme="majorHAnsi" w:hAnsiTheme="majorHAnsi"/>
          <w:color w:val="2F2B20" w:themeColor="background1"/>
        </w:rPr>
        <w:t xml:space="preserve"> </w:t>
      </w:r>
      <w:r w:rsidRPr="00395A9E">
        <w:rPr>
          <w:rFonts w:asciiTheme="majorHAnsi" w:hAnsiTheme="majorHAnsi"/>
          <w:color w:val="2F2B20" w:themeColor="background1"/>
        </w:rPr>
        <w:t xml:space="preserve">doctoral communities, Innovations in Education and Teaching International, </w:t>
      </w:r>
    </w:p>
    <w:p w14:paraId="2A089498" w14:textId="4C7E81F8" w:rsidR="00395A9E" w:rsidRPr="002C1C62" w:rsidRDefault="00662BBE" w:rsidP="00662BBE">
      <w:pPr>
        <w:ind w:left="720" w:hanging="720"/>
        <w:rPr>
          <w:rFonts w:asciiTheme="majorHAnsi" w:hAnsiTheme="majorHAnsi"/>
          <w:color w:val="2F2B20" w:themeColor="background1"/>
        </w:rPr>
      </w:pPr>
      <w:r w:rsidRPr="00395A9E">
        <w:rPr>
          <w:rFonts w:asciiTheme="majorHAnsi" w:hAnsiTheme="majorHAnsi"/>
          <w:color w:val="2F2B20" w:themeColor="background1"/>
        </w:rPr>
        <w:t>McKenna, S. (</w:t>
      </w:r>
      <w:r w:rsidRPr="002C1C62">
        <w:rPr>
          <w:rFonts w:asciiTheme="majorHAnsi" w:hAnsiTheme="majorHAnsi"/>
          <w:color w:val="2F2B20" w:themeColor="background1"/>
        </w:rPr>
        <w:t>2014</w:t>
      </w:r>
      <w:r w:rsidRPr="00395A9E">
        <w:rPr>
          <w:rFonts w:asciiTheme="majorHAnsi" w:hAnsiTheme="majorHAnsi"/>
          <w:color w:val="2F2B20" w:themeColor="background1"/>
        </w:rPr>
        <w:t>). Higher Education Studies as a field of research. The Independent Journal of Teaching and Learning, 9, 6–44.</w:t>
      </w:r>
    </w:p>
    <w:p w14:paraId="4FBF2129" w14:textId="77777777" w:rsidR="00395A9E" w:rsidRPr="00395A9E" w:rsidRDefault="00395A9E" w:rsidP="00662BBE">
      <w:pPr>
        <w:ind w:left="720" w:hanging="720"/>
        <w:rPr>
          <w:rFonts w:asciiTheme="majorHAnsi" w:eastAsia="Times New Roman" w:hAnsiTheme="majorHAnsi"/>
          <w:color w:val="2F2B20" w:themeColor="background1"/>
        </w:rPr>
      </w:pPr>
      <w:r w:rsidRPr="00395A9E">
        <w:rPr>
          <w:rFonts w:asciiTheme="majorHAnsi" w:eastAsia="Times New Roman" w:hAnsiTheme="majorHAnsi"/>
          <w:color w:val="2F2B20" w:themeColor="background1"/>
        </w:rPr>
        <w:t>Samuel, M., &amp; Vithal, R. (2011). Emergent frameworks of research teaching and learning in a cohort-based doctoral programme. Perspectives in Education: The changing face of doctoral education in South Africa: Special Issue, 3(29):76-87.</w:t>
      </w:r>
    </w:p>
    <w:p w14:paraId="47AB8D55" w14:textId="77777777" w:rsidR="002C77D9" w:rsidRPr="002C1C62" w:rsidRDefault="002C77D9" w:rsidP="002B2C32">
      <w:pPr>
        <w:spacing w:before="80" w:after="80"/>
        <w:rPr>
          <w:rFonts w:asciiTheme="majorHAnsi" w:hAnsiTheme="majorHAnsi"/>
          <w:color w:val="2F2B20" w:themeColor="background1"/>
          <w:highlight w:val="yellow"/>
        </w:rPr>
      </w:pPr>
    </w:p>
    <w:p w14:paraId="2D60CCC9" w14:textId="32EE3FF2" w:rsidR="007857D7" w:rsidRDefault="006A38DB" w:rsidP="008E18FC">
      <w:pPr>
        <w:spacing w:before="80" w:after="80"/>
        <w:rPr>
          <w:rFonts w:asciiTheme="majorHAnsi" w:hAnsiTheme="majorHAnsi"/>
          <w:color w:val="2F2B20" w:themeColor="background1"/>
        </w:rPr>
      </w:pPr>
      <w:r w:rsidRPr="002C1C62">
        <w:rPr>
          <w:rFonts w:asciiTheme="majorHAnsi" w:hAnsiTheme="majorHAnsi"/>
          <w:color w:val="2F2B20" w:themeColor="background1"/>
        </w:rPr>
        <w:t>CONTACTS</w:t>
      </w:r>
      <w:r w:rsidR="00F05279" w:rsidRPr="002C1C62">
        <w:rPr>
          <w:rFonts w:asciiTheme="majorHAnsi" w:hAnsiTheme="majorHAnsi"/>
          <w:color w:val="2F2B20" w:themeColor="background1"/>
        </w:rPr>
        <w:t xml:space="preserve"> </w:t>
      </w:r>
    </w:p>
    <w:p w14:paraId="7917E9AC" w14:textId="256C659F" w:rsidR="008E18FC" w:rsidRPr="002C1C62" w:rsidRDefault="008E18FC" w:rsidP="008E18FC">
      <w:pPr>
        <w:spacing w:before="80" w:after="80"/>
        <w:rPr>
          <w:rFonts w:asciiTheme="majorHAnsi" w:hAnsiTheme="majorHAnsi"/>
          <w:color w:val="2F2B20" w:themeColor="background1"/>
        </w:rPr>
      </w:pPr>
      <w:r>
        <w:rPr>
          <w:rFonts w:asciiTheme="majorHAnsi" w:hAnsiTheme="majorHAnsi"/>
          <w:color w:val="2F2B20" w:themeColor="background1"/>
        </w:rPr>
        <w:t>Director of Postgraduate Studies and DVC: Research</w:t>
      </w:r>
    </w:p>
    <w:p w14:paraId="57E3D77F" w14:textId="77777777" w:rsidR="00000D65" w:rsidRPr="002C1C62" w:rsidRDefault="00000D65" w:rsidP="002B2C32">
      <w:pPr>
        <w:spacing w:before="80" w:after="80"/>
        <w:rPr>
          <w:rFonts w:asciiTheme="majorHAnsi" w:hAnsiTheme="majorHAnsi"/>
          <w:color w:val="2F2B20" w:themeColor="background1"/>
          <w:highlight w:val="yellow"/>
        </w:rPr>
      </w:pPr>
    </w:p>
    <w:p w14:paraId="5ACF0C7C" w14:textId="77777777" w:rsidR="00D8231D" w:rsidRPr="002C1C62" w:rsidRDefault="00EE4668" w:rsidP="002B2C32">
      <w:pPr>
        <w:spacing w:before="80" w:after="80"/>
        <w:rPr>
          <w:rFonts w:asciiTheme="majorHAnsi" w:hAnsiTheme="majorHAnsi"/>
          <w:color w:val="2F2B20" w:themeColor="background1"/>
        </w:rPr>
      </w:pPr>
      <w:r w:rsidRPr="002C1C62">
        <w:rPr>
          <w:rFonts w:asciiTheme="majorHAnsi" w:hAnsiTheme="majorHAnsi"/>
          <w:color w:val="2F2B20" w:themeColor="background1"/>
        </w:rPr>
        <w:t>POLICY</w:t>
      </w:r>
      <w:r w:rsidR="00A80F59" w:rsidRPr="002C1C62">
        <w:rPr>
          <w:rFonts w:asciiTheme="majorHAnsi" w:hAnsiTheme="majorHAnsi"/>
          <w:color w:val="2F2B20" w:themeColor="background1"/>
        </w:rPr>
        <w:t xml:space="preserve"> </w:t>
      </w:r>
      <w:r w:rsidR="00D8231D" w:rsidRPr="002C1C62">
        <w:rPr>
          <w:rFonts w:asciiTheme="majorHAnsi" w:hAnsiTheme="majorHAnsi"/>
          <w:color w:val="2F2B20" w:themeColor="background1"/>
        </w:rPr>
        <w:t>REVIEW PROCEDURE</w:t>
      </w:r>
    </w:p>
    <w:p w14:paraId="541ED9B9" w14:textId="77777777" w:rsidR="006A38DB" w:rsidRPr="002C1C62" w:rsidRDefault="006A38DB" w:rsidP="002B2C32">
      <w:pPr>
        <w:spacing w:before="80" w:after="80"/>
        <w:rPr>
          <w:rFonts w:asciiTheme="majorHAnsi" w:hAnsiTheme="majorHAnsi"/>
          <w:color w:val="2F2B20" w:themeColor="background1"/>
        </w:rPr>
      </w:pPr>
      <w:r w:rsidRPr="002C1C62">
        <w:rPr>
          <w:rFonts w:asciiTheme="majorHAnsi" w:hAnsiTheme="majorHAnsi"/>
          <w:color w:val="2F2B20" w:themeColor="background1"/>
        </w:rPr>
        <w:t>(Actions and processes by which the p</w:t>
      </w:r>
      <w:r w:rsidR="00EE4668" w:rsidRPr="002C1C62">
        <w:rPr>
          <w:rFonts w:asciiTheme="majorHAnsi" w:hAnsiTheme="majorHAnsi"/>
          <w:color w:val="2F2B20" w:themeColor="background1"/>
        </w:rPr>
        <w:t>olicy</w:t>
      </w:r>
      <w:r w:rsidRPr="002C1C62">
        <w:rPr>
          <w:rFonts w:asciiTheme="majorHAnsi" w:hAnsiTheme="majorHAnsi"/>
          <w:color w:val="2F2B20" w:themeColor="background1"/>
        </w:rPr>
        <w:t xml:space="preserve"> will be reviewed)</w:t>
      </w:r>
    </w:p>
    <w:tbl>
      <w:tblPr>
        <w:tblStyle w:val="TableGrid"/>
        <w:tblW w:w="9924" w:type="dxa"/>
        <w:tblInd w:w="-318" w:type="dxa"/>
        <w:tblLook w:val="04A0" w:firstRow="1" w:lastRow="0" w:firstColumn="1" w:lastColumn="0" w:noHBand="0" w:noVBand="1"/>
      </w:tblPr>
      <w:tblGrid>
        <w:gridCol w:w="9924"/>
      </w:tblGrid>
      <w:tr w:rsidR="002C1C62" w:rsidRPr="002C1C62" w14:paraId="369E5675" w14:textId="77777777" w:rsidTr="00EE4668">
        <w:tc>
          <w:tcPr>
            <w:tcW w:w="9924" w:type="dxa"/>
          </w:tcPr>
          <w:p w14:paraId="3E935E88" w14:textId="6AE2866E" w:rsidR="00D8231D" w:rsidRPr="002C1C62" w:rsidRDefault="00984ADA" w:rsidP="002B2C32">
            <w:pPr>
              <w:spacing w:before="80" w:after="80"/>
              <w:rPr>
                <w:rFonts w:asciiTheme="majorHAnsi" w:hAnsiTheme="majorHAnsi"/>
                <w:color w:val="2F2B20" w:themeColor="background1"/>
              </w:rPr>
            </w:pPr>
            <w:r w:rsidRPr="002C1C62">
              <w:rPr>
                <w:rFonts w:asciiTheme="majorHAnsi" w:hAnsiTheme="majorHAnsi"/>
                <w:color w:val="2F2B20" w:themeColor="background1"/>
              </w:rPr>
              <w:t>Policy to be reviewed once every five years or less if required. Review to be undertaken by sub-committee established by Research Committee and revised policy to serve at Research Committee, then at Faculty Boards, for final approval by Senate.</w:t>
            </w:r>
          </w:p>
        </w:tc>
      </w:tr>
    </w:tbl>
    <w:p w14:paraId="09F907B2" w14:textId="77777777" w:rsidR="00D8231D" w:rsidRPr="002C1C62" w:rsidRDefault="00D8231D" w:rsidP="002B2C32">
      <w:pPr>
        <w:spacing w:before="80" w:after="80"/>
        <w:rPr>
          <w:rFonts w:asciiTheme="majorHAnsi" w:hAnsiTheme="majorHAnsi"/>
          <w:color w:val="2F2B20" w:themeColor="background1"/>
        </w:rPr>
      </w:pPr>
    </w:p>
    <w:sectPr w:rsidR="00D8231D" w:rsidRPr="002C1C62" w:rsidSect="00000D65">
      <w:footerReference w:type="default" r:id="rId8"/>
      <w:headerReference w:type="first" r:id="rId9"/>
      <w:footerReference w:type="first" r:id="rId10"/>
      <w:type w:val="continuous"/>
      <w:pgSz w:w="11906" w:h="16838"/>
      <w:pgMar w:top="1440" w:right="1440" w:bottom="1440" w:left="1440" w:header="680" w:footer="680"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362A6" w14:textId="77777777" w:rsidR="00A27590" w:rsidRDefault="00A27590" w:rsidP="00191D6C">
      <w:r>
        <w:separator/>
      </w:r>
    </w:p>
  </w:endnote>
  <w:endnote w:type="continuationSeparator" w:id="0">
    <w:p w14:paraId="04627960" w14:textId="77777777" w:rsidR="00A27590" w:rsidRDefault="00A27590" w:rsidP="0019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altName w:val="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swiss"/>
    <w:pitch w:val="variable"/>
    <w:sig w:usb0="F7FFAFFF" w:usb1="E9DFFFFF" w:usb2="0000003F" w:usb3="00000000" w:csb0="003F01F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Times">
    <w:panose1 w:val="02000500000000000000"/>
    <w:charset w:val="00"/>
    <w:family w:val="roman"/>
    <w:pitch w:val="variable"/>
    <w:sig w:usb0="00000003" w:usb1="00000000" w:usb2="00000000" w:usb3="00000000" w:csb0="00000001"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BC0F5" w14:textId="1EA36F8B" w:rsidR="001D5D81" w:rsidRPr="005131E4" w:rsidRDefault="002D6595" w:rsidP="000F4EC0">
    <w:pPr>
      <w:pStyle w:val="Footer"/>
      <w:pBdr>
        <w:top w:val="thinThickSmallGap" w:sz="24" w:space="3" w:color="37184F" w:themeColor="accent2" w:themeShade="7F"/>
      </w:pBdr>
      <w:spacing w:before="200"/>
      <w:jc w:val="right"/>
      <w:rPr>
        <w:rFonts w:eastAsiaTheme="majorEastAsia" w:cstheme="majorBidi"/>
        <w:sz w:val="18"/>
        <w:szCs w:val="18"/>
      </w:rPr>
    </w:pPr>
    <w:r>
      <w:rPr>
        <w:rFonts w:eastAsiaTheme="majorEastAsia" w:cstheme="majorBidi"/>
        <w:sz w:val="18"/>
        <w:szCs w:val="18"/>
      </w:rPr>
      <w:t xml:space="preserve">Rhodes University Policy on </w:t>
    </w:r>
    <w:r w:rsidR="000F4EC0">
      <w:rPr>
        <w:rFonts w:eastAsiaTheme="majorEastAsia" w:cstheme="majorBidi"/>
        <w:sz w:val="18"/>
        <w:szCs w:val="18"/>
      </w:rPr>
      <w:t>HDR supervision</w:t>
    </w:r>
    <w:r w:rsidR="001D5D81" w:rsidRPr="005131E4">
      <w:rPr>
        <w:rFonts w:eastAsiaTheme="majorEastAsia" w:cstheme="majorBidi"/>
        <w:sz w:val="18"/>
        <w:szCs w:val="18"/>
      </w:rPr>
      <w:t xml:space="preserve"> </w:t>
    </w:r>
    <w:r w:rsidR="001D5D81" w:rsidRPr="005131E4">
      <w:rPr>
        <w:rFonts w:eastAsiaTheme="minorEastAsia"/>
        <w:sz w:val="18"/>
        <w:szCs w:val="18"/>
      </w:rPr>
      <w:fldChar w:fldCharType="begin"/>
    </w:r>
    <w:r w:rsidR="001D5D81" w:rsidRPr="005131E4">
      <w:rPr>
        <w:sz w:val="18"/>
        <w:szCs w:val="18"/>
      </w:rPr>
      <w:instrText xml:space="preserve"> PAGE   \* MERGEFORMAT </w:instrText>
    </w:r>
    <w:r w:rsidR="001D5D81" w:rsidRPr="005131E4">
      <w:rPr>
        <w:rFonts w:eastAsiaTheme="minorEastAsia"/>
        <w:sz w:val="18"/>
        <w:szCs w:val="18"/>
      </w:rPr>
      <w:fldChar w:fldCharType="separate"/>
    </w:r>
    <w:r w:rsidR="00CE3AD3" w:rsidRPr="00CE3AD3">
      <w:rPr>
        <w:rFonts w:eastAsiaTheme="majorEastAsia" w:cstheme="majorBidi"/>
        <w:noProof/>
        <w:sz w:val="18"/>
        <w:szCs w:val="18"/>
      </w:rPr>
      <w:t>8</w:t>
    </w:r>
    <w:r w:rsidR="001D5D81" w:rsidRPr="005131E4">
      <w:rPr>
        <w:rFonts w:eastAsiaTheme="majorEastAsia" w:cstheme="majorBidi"/>
        <w:noProof/>
        <w:sz w:val="18"/>
        <w:szCs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42D0E" w14:textId="77777777" w:rsidR="001D5D81" w:rsidRPr="005131E4" w:rsidRDefault="001D5D81" w:rsidP="003F7A63">
    <w:pPr>
      <w:pStyle w:val="Footer"/>
      <w:pBdr>
        <w:top w:val="thinThickSmallGap" w:sz="24" w:space="1" w:color="37184F" w:themeColor="accent2" w:themeShade="7F"/>
      </w:pBdr>
      <w:rPr>
        <w:rFonts w:eastAsiaTheme="majorEastAsia" w:cstheme="majorBidi"/>
        <w:sz w:val="18"/>
        <w:szCs w:val="18"/>
      </w:rPr>
    </w:pPr>
  </w:p>
  <w:p w14:paraId="7101487A" w14:textId="77777777" w:rsidR="001D5D81" w:rsidRDefault="001D5D8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198AF" w14:textId="77777777" w:rsidR="00A27590" w:rsidRDefault="00A27590" w:rsidP="00191D6C">
      <w:r>
        <w:separator/>
      </w:r>
    </w:p>
  </w:footnote>
  <w:footnote w:type="continuationSeparator" w:id="0">
    <w:p w14:paraId="02EC347A" w14:textId="77777777" w:rsidR="00A27590" w:rsidRDefault="00A27590" w:rsidP="00191D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C5915" w14:textId="314C3A4F" w:rsidR="00000D65" w:rsidRDefault="00000D65">
    <w:pPr>
      <w:pStyle w:val="Header"/>
    </w:pPr>
    <w:r w:rsidRPr="00261496">
      <w:rPr>
        <w:noProof/>
        <w:lang w:val="en-GB" w:eastAsia="en-GB"/>
      </w:rPr>
      <w:drawing>
        <wp:anchor distT="0" distB="0" distL="114300" distR="114300" simplePos="0" relativeHeight="251659264" behindDoc="1" locked="0" layoutInCell="1" allowOverlap="1" wp14:anchorId="272575E7" wp14:editId="6328F35C">
          <wp:simplePos x="0" y="0"/>
          <wp:positionH relativeFrom="margin">
            <wp:align>center</wp:align>
          </wp:positionH>
          <wp:positionV relativeFrom="margin">
            <wp:posOffset>-577215</wp:posOffset>
          </wp:positionV>
          <wp:extent cx="1676400" cy="935990"/>
          <wp:effectExtent l="0" t="0" r="0" b="0"/>
          <wp:wrapSquare wrapText="bothSides"/>
          <wp:docPr id="1" name="Picture 1" descr="crest_v5_-_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rest_v5_-_G"/>
                  <pic:cNvPicPr preferRelativeResize="0">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6400" cy="9359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814A4"/>
    <w:multiLevelType w:val="hybridMultilevel"/>
    <w:tmpl w:val="792C12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AED59FF"/>
    <w:multiLevelType w:val="hybridMultilevel"/>
    <w:tmpl w:val="8D186D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0720AF7"/>
    <w:multiLevelType w:val="hybridMultilevel"/>
    <w:tmpl w:val="DB04BF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8412B25"/>
    <w:multiLevelType w:val="hybridMultilevel"/>
    <w:tmpl w:val="CD8890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35F0FD9"/>
    <w:multiLevelType w:val="hybridMultilevel"/>
    <w:tmpl w:val="DB04BF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5BD6012"/>
    <w:multiLevelType w:val="hybridMultilevel"/>
    <w:tmpl w:val="A1A830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7905440"/>
    <w:multiLevelType w:val="hybridMultilevel"/>
    <w:tmpl w:val="E9806B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436118C"/>
    <w:multiLevelType w:val="hybridMultilevel"/>
    <w:tmpl w:val="B7F85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FE95165"/>
    <w:multiLevelType w:val="hybridMultilevel"/>
    <w:tmpl w:val="C908C3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2"/>
  </w:num>
  <w:num w:numId="3">
    <w:abstractNumId w:val="4"/>
  </w:num>
  <w:num w:numId="4">
    <w:abstractNumId w:val="0"/>
  </w:num>
  <w:num w:numId="5">
    <w:abstractNumId w:val="1"/>
  </w:num>
  <w:num w:numId="6">
    <w:abstractNumId w:val="3"/>
  </w:num>
  <w:num w:numId="7">
    <w:abstractNumId w:val="8"/>
  </w:num>
  <w:num w:numId="8">
    <w:abstractNumId w:val="6"/>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8"/>
  <w:hideSpellingErrors/>
  <w:hideGrammatical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31D"/>
    <w:rsid w:val="00000D65"/>
    <w:rsid w:val="00001BE4"/>
    <w:rsid w:val="00005763"/>
    <w:rsid w:val="0001685D"/>
    <w:rsid w:val="00016E08"/>
    <w:rsid w:val="00024477"/>
    <w:rsid w:val="0002562B"/>
    <w:rsid w:val="000369F5"/>
    <w:rsid w:val="00042FF0"/>
    <w:rsid w:val="00047EFD"/>
    <w:rsid w:val="00054640"/>
    <w:rsid w:val="0005606E"/>
    <w:rsid w:val="00063C6C"/>
    <w:rsid w:val="00072C5E"/>
    <w:rsid w:val="00076DE9"/>
    <w:rsid w:val="0008050B"/>
    <w:rsid w:val="000818ED"/>
    <w:rsid w:val="00090233"/>
    <w:rsid w:val="0009611C"/>
    <w:rsid w:val="000A3F27"/>
    <w:rsid w:val="000A4207"/>
    <w:rsid w:val="000B612D"/>
    <w:rsid w:val="000F0D33"/>
    <w:rsid w:val="000F4EC0"/>
    <w:rsid w:val="000F594B"/>
    <w:rsid w:val="00115BE7"/>
    <w:rsid w:val="001444A4"/>
    <w:rsid w:val="001501AD"/>
    <w:rsid w:val="00154B57"/>
    <w:rsid w:val="00167CFA"/>
    <w:rsid w:val="00191D6C"/>
    <w:rsid w:val="001C7836"/>
    <w:rsid w:val="001D5D81"/>
    <w:rsid w:val="001E3091"/>
    <w:rsid w:val="001E4707"/>
    <w:rsid w:val="001F1A66"/>
    <w:rsid w:val="001F6A0C"/>
    <w:rsid w:val="001F7F51"/>
    <w:rsid w:val="00202503"/>
    <w:rsid w:val="00216829"/>
    <w:rsid w:val="002223D9"/>
    <w:rsid w:val="002271EA"/>
    <w:rsid w:val="00244DE5"/>
    <w:rsid w:val="00250160"/>
    <w:rsid w:val="002753AF"/>
    <w:rsid w:val="002818F2"/>
    <w:rsid w:val="002A416C"/>
    <w:rsid w:val="002A523A"/>
    <w:rsid w:val="002A5516"/>
    <w:rsid w:val="002B244B"/>
    <w:rsid w:val="002B2C32"/>
    <w:rsid w:val="002B6D64"/>
    <w:rsid w:val="002C1C62"/>
    <w:rsid w:val="002C77D9"/>
    <w:rsid w:val="002D6595"/>
    <w:rsid w:val="002E7C48"/>
    <w:rsid w:val="002F1C47"/>
    <w:rsid w:val="002F2440"/>
    <w:rsid w:val="002F5D63"/>
    <w:rsid w:val="0030157A"/>
    <w:rsid w:val="00321AF2"/>
    <w:rsid w:val="00337D7B"/>
    <w:rsid w:val="00354AFD"/>
    <w:rsid w:val="00395A9E"/>
    <w:rsid w:val="003B56BF"/>
    <w:rsid w:val="003C4174"/>
    <w:rsid w:val="003F7A63"/>
    <w:rsid w:val="004049D4"/>
    <w:rsid w:val="0042271C"/>
    <w:rsid w:val="0043237A"/>
    <w:rsid w:val="0043616A"/>
    <w:rsid w:val="00442706"/>
    <w:rsid w:val="004621E2"/>
    <w:rsid w:val="00470432"/>
    <w:rsid w:val="004766EB"/>
    <w:rsid w:val="00481A64"/>
    <w:rsid w:val="00487A1B"/>
    <w:rsid w:val="00487ADB"/>
    <w:rsid w:val="004F5633"/>
    <w:rsid w:val="00512394"/>
    <w:rsid w:val="005156B9"/>
    <w:rsid w:val="00521473"/>
    <w:rsid w:val="00524AD6"/>
    <w:rsid w:val="005401CC"/>
    <w:rsid w:val="00553A65"/>
    <w:rsid w:val="0055673D"/>
    <w:rsid w:val="0056654C"/>
    <w:rsid w:val="00566678"/>
    <w:rsid w:val="005738D6"/>
    <w:rsid w:val="00573C93"/>
    <w:rsid w:val="00594FA8"/>
    <w:rsid w:val="005A7B26"/>
    <w:rsid w:val="005B2415"/>
    <w:rsid w:val="005B4837"/>
    <w:rsid w:val="005D0ABD"/>
    <w:rsid w:val="005E1440"/>
    <w:rsid w:val="005F5D63"/>
    <w:rsid w:val="005F69DD"/>
    <w:rsid w:val="006065D8"/>
    <w:rsid w:val="006206D4"/>
    <w:rsid w:val="00624CA3"/>
    <w:rsid w:val="00646493"/>
    <w:rsid w:val="006538A1"/>
    <w:rsid w:val="00656F00"/>
    <w:rsid w:val="00662BBE"/>
    <w:rsid w:val="00674F79"/>
    <w:rsid w:val="00677FB4"/>
    <w:rsid w:val="00692C1E"/>
    <w:rsid w:val="00696C6F"/>
    <w:rsid w:val="0069759D"/>
    <w:rsid w:val="006A38DB"/>
    <w:rsid w:val="006B0B61"/>
    <w:rsid w:val="006B2731"/>
    <w:rsid w:val="006B5524"/>
    <w:rsid w:val="006D306C"/>
    <w:rsid w:val="006D3F6D"/>
    <w:rsid w:val="006F6AE4"/>
    <w:rsid w:val="00703861"/>
    <w:rsid w:val="00714B30"/>
    <w:rsid w:val="007273E4"/>
    <w:rsid w:val="00756EEB"/>
    <w:rsid w:val="007644DA"/>
    <w:rsid w:val="0077042E"/>
    <w:rsid w:val="00773E1D"/>
    <w:rsid w:val="00785267"/>
    <w:rsid w:val="007857D7"/>
    <w:rsid w:val="007958C9"/>
    <w:rsid w:val="007C2319"/>
    <w:rsid w:val="007C5FC4"/>
    <w:rsid w:val="007E0BA9"/>
    <w:rsid w:val="007E50B4"/>
    <w:rsid w:val="007E56A0"/>
    <w:rsid w:val="00820408"/>
    <w:rsid w:val="008266D8"/>
    <w:rsid w:val="00831868"/>
    <w:rsid w:val="0085496D"/>
    <w:rsid w:val="00860835"/>
    <w:rsid w:val="008640C7"/>
    <w:rsid w:val="008722D0"/>
    <w:rsid w:val="008A1BE2"/>
    <w:rsid w:val="008A7F07"/>
    <w:rsid w:val="008C5230"/>
    <w:rsid w:val="008C7585"/>
    <w:rsid w:val="008E010F"/>
    <w:rsid w:val="008E18FC"/>
    <w:rsid w:val="008E4E88"/>
    <w:rsid w:val="008F06D2"/>
    <w:rsid w:val="00902211"/>
    <w:rsid w:val="00910987"/>
    <w:rsid w:val="009118F8"/>
    <w:rsid w:val="00912415"/>
    <w:rsid w:val="009158E7"/>
    <w:rsid w:val="0092283B"/>
    <w:rsid w:val="0095102F"/>
    <w:rsid w:val="00951B39"/>
    <w:rsid w:val="00984ADA"/>
    <w:rsid w:val="00997580"/>
    <w:rsid w:val="009A2D94"/>
    <w:rsid w:val="009B2D53"/>
    <w:rsid w:val="009C7522"/>
    <w:rsid w:val="009E5405"/>
    <w:rsid w:val="009F1B67"/>
    <w:rsid w:val="00A04B33"/>
    <w:rsid w:val="00A15C25"/>
    <w:rsid w:val="00A25E79"/>
    <w:rsid w:val="00A27590"/>
    <w:rsid w:val="00A324FA"/>
    <w:rsid w:val="00A362C7"/>
    <w:rsid w:val="00A36C81"/>
    <w:rsid w:val="00A44A82"/>
    <w:rsid w:val="00A62A1D"/>
    <w:rsid w:val="00A64EDE"/>
    <w:rsid w:val="00A72E74"/>
    <w:rsid w:val="00A80F59"/>
    <w:rsid w:val="00A8316A"/>
    <w:rsid w:val="00A8470A"/>
    <w:rsid w:val="00A97A6E"/>
    <w:rsid w:val="00AC10AE"/>
    <w:rsid w:val="00AC1BB2"/>
    <w:rsid w:val="00AD335F"/>
    <w:rsid w:val="00AD7594"/>
    <w:rsid w:val="00AE0B81"/>
    <w:rsid w:val="00AE14CD"/>
    <w:rsid w:val="00AE3533"/>
    <w:rsid w:val="00AF7457"/>
    <w:rsid w:val="00B04C42"/>
    <w:rsid w:val="00B25B85"/>
    <w:rsid w:val="00B27697"/>
    <w:rsid w:val="00B313E2"/>
    <w:rsid w:val="00B33A69"/>
    <w:rsid w:val="00B40DAF"/>
    <w:rsid w:val="00B50CA5"/>
    <w:rsid w:val="00B53D6A"/>
    <w:rsid w:val="00B83921"/>
    <w:rsid w:val="00B96E05"/>
    <w:rsid w:val="00BB295D"/>
    <w:rsid w:val="00BB36AF"/>
    <w:rsid w:val="00BC08A2"/>
    <w:rsid w:val="00BC1765"/>
    <w:rsid w:val="00BD005E"/>
    <w:rsid w:val="00BE4330"/>
    <w:rsid w:val="00BE4AD2"/>
    <w:rsid w:val="00C02975"/>
    <w:rsid w:val="00C124DE"/>
    <w:rsid w:val="00C15F45"/>
    <w:rsid w:val="00C2368F"/>
    <w:rsid w:val="00C431EF"/>
    <w:rsid w:val="00C45B1D"/>
    <w:rsid w:val="00C4606A"/>
    <w:rsid w:val="00C514EF"/>
    <w:rsid w:val="00C60BB8"/>
    <w:rsid w:val="00C615FD"/>
    <w:rsid w:val="00C66448"/>
    <w:rsid w:val="00C962A3"/>
    <w:rsid w:val="00CB2695"/>
    <w:rsid w:val="00CC11F4"/>
    <w:rsid w:val="00CD5A4B"/>
    <w:rsid w:val="00CD7425"/>
    <w:rsid w:val="00CE3AD3"/>
    <w:rsid w:val="00CF0580"/>
    <w:rsid w:val="00CF59A3"/>
    <w:rsid w:val="00D22633"/>
    <w:rsid w:val="00D259A1"/>
    <w:rsid w:val="00D50870"/>
    <w:rsid w:val="00D642FC"/>
    <w:rsid w:val="00D8231D"/>
    <w:rsid w:val="00DA4CEC"/>
    <w:rsid w:val="00DB5857"/>
    <w:rsid w:val="00DD0256"/>
    <w:rsid w:val="00DD0C7C"/>
    <w:rsid w:val="00DD18C1"/>
    <w:rsid w:val="00DE6499"/>
    <w:rsid w:val="00DF1A29"/>
    <w:rsid w:val="00DF208B"/>
    <w:rsid w:val="00DF403E"/>
    <w:rsid w:val="00E01483"/>
    <w:rsid w:val="00E2470E"/>
    <w:rsid w:val="00E26B59"/>
    <w:rsid w:val="00E320F8"/>
    <w:rsid w:val="00E56994"/>
    <w:rsid w:val="00E57B1F"/>
    <w:rsid w:val="00E737B9"/>
    <w:rsid w:val="00E93F87"/>
    <w:rsid w:val="00E9698B"/>
    <w:rsid w:val="00EA08DD"/>
    <w:rsid w:val="00EB2B14"/>
    <w:rsid w:val="00EB40A7"/>
    <w:rsid w:val="00EB72EE"/>
    <w:rsid w:val="00EC16A4"/>
    <w:rsid w:val="00EC5A58"/>
    <w:rsid w:val="00EE39AC"/>
    <w:rsid w:val="00EE4668"/>
    <w:rsid w:val="00F05279"/>
    <w:rsid w:val="00F246C9"/>
    <w:rsid w:val="00F27B2A"/>
    <w:rsid w:val="00F304F5"/>
    <w:rsid w:val="00F31020"/>
    <w:rsid w:val="00F56653"/>
    <w:rsid w:val="00F752E1"/>
    <w:rsid w:val="00F7578C"/>
    <w:rsid w:val="00F8328F"/>
    <w:rsid w:val="00F845A8"/>
    <w:rsid w:val="00F938FC"/>
    <w:rsid w:val="00FA0749"/>
    <w:rsid w:val="00FB2008"/>
    <w:rsid w:val="00FB3738"/>
    <w:rsid w:val="00FC5265"/>
    <w:rsid w:val="00FE04E9"/>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E0E08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before="60" w:after="60"/>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2211"/>
    <w:pPr>
      <w:spacing w:before="0" w:after="0"/>
    </w:pPr>
    <w:rPr>
      <w:rFonts w:ascii="Times New Roman" w:hAnsi="Times New Roman" w:cs="Times New Roman"/>
      <w:sz w:val="24"/>
      <w:szCs w:val="24"/>
      <w:lang w:val="en-US"/>
    </w:rPr>
  </w:style>
  <w:style w:type="paragraph" w:styleId="Heading1">
    <w:name w:val="heading 1"/>
    <w:basedOn w:val="Normal"/>
    <w:next w:val="Normal"/>
    <w:link w:val="Heading1Char"/>
    <w:qFormat/>
    <w:rsid w:val="00EB72EE"/>
    <w:pPr>
      <w:keepNext/>
      <w:jc w:val="center"/>
      <w:outlineLvl w:val="0"/>
    </w:pPr>
    <w:rPr>
      <w:rFonts w:eastAsia="Times New Roman"/>
      <w:b/>
      <w:bCs/>
      <w:sz w:val="40"/>
      <w:u w:val="single"/>
      <w:lang w:val="en-GB"/>
    </w:rPr>
  </w:style>
  <w:style w:type="paragraph" w:styleId="Heading6">
    <w:name w:val="heading 6"/>
    <w:basedOn w:val="Normal"/>
    <w:next w:val="Normal"/>
    <w:link w:val="Heading6Char"/>
    <w:uiPriority w:val="9"/>
    <w:semiHidden/>
    <w:unhideWhenUsed/>
    <w:qFormat/>
    <w:rsid w:val="002D6595"/>
    <w:pPr>
      <w:keepNext/>
      <w:keepLines/>
      <w:spacing w:before="40"/>
      <w:outlineLvl w:val="5"/>
    </w:pPr>
    <w:rPr>
      <w:rFonts w:asciiTheme="majorHAnsi" w:eastAsiaTheme="majorEastAsia" w:hAnsiTheme="majorHAnsi" w:cstheme="majorBidi"/>
      <w:color w:val="29113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231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8231D"/>
    <w:pPr>
      <w:autoSpaceDE w:val="0"/>
      <w:autoSpaceDN w:val="0"/>
      <w:adjustRightInd w:val="0"/>
      <w:spacing w:after="0"/>
    </w:pPr>
    <w:rPr>
      <w:rFonts w:ascii="Times New Roman" w:hAnsi="Times New Roman" w:cs="Times New Roman"/>
      <w:color w:val="000000"/>
      <w:sz w:val="24"/>
      <w:szCs w:val="24"/>
      <w:lang w:val="en-US"/>
    </w:rPr>
  </w:style>
  <w:style w:type="character" w:styleId="CommentReference">
    <w:name w:val="annotation reference"/>
    <w:rsid w:val="00D8231D"/>
    <w:rPr>
      <w:sz w:val="16"/>
      <w:szCs w:val="16"/>
    </w:rPr>
  </w:style>
  <w:style w:type="paragraph" w:styleId="Header">
    <w:name w:val="header"/>
    <w:basedOn w:val="Normal"/>
    <w:link w:val="HeaderChar"/>
    <w:unhideWhenUsed/>
    <w:rsid w:val="00D8231D"/>
    <w:pPr>
      <w:tabs>
        <w:tab w:val="center" w:pos="4513"/>
        <w:tab w:val="right" w:pos="9026"/>
      </w:tabs>
      <w:spacing w:before="60"/>
    </w:pPr>
    <w:rPr>
      <w:rFonts w:asciiTheme="minorHAnsi" w:hAnsiTheme="minorHAnsi" w:cstheme="minorBidi"/>
      <w:sz w:val="22"/>
      <w:szCs w:val="22"/>
      <w:lang w:val="en-ZA"/>
    </w:rPr>
  </w:style>
  <w:style w:type="character" w:customStyle="1" w:styleId="HeaderChar">
    <w:name w:val="Header Char"/>
    <w:basedOn w:val="DefaultParagraphFont"/>
    <w:link w:val="Header"/>
    <w:rsid w:val="00D8231D"/>
  </w:style>
  <w:style w:type="paragraph" w:styleId="Footer">
    <w:name w:val="footer"/>
    <w:basedOn w:val="Normal"/>
    <w:link w:val="FooterChar"/>
    <w:uiPriority w:val="99"/>
    <w:unhideWhenUsed/>
    <w:rsid w:val="00D8231D"/>
    <w:pPr>
      <w:tabs>
        <w:tab w:val="center" w:pos="4513"/>
        <w:tab w:val="right" w:pos="9026"/>
      </w:tabs>
      <w:spacing w:before="60"/>
    </w:pPr>
    <w:rPr>
      <w:rFonts w:asciiTheme="minorHAnsi" w:hAnsiTheme="minorHAnsi" w:cstheme="minorBidi"/>
      <w:sz w:val="22"/>
      <w:szCs w:val="22"/>
      <w:lang w:val="en-ZA"/>
    </w:rPr>
  </w:style>
  <w:style w:type="character" w:customStyle="1" w:styleId="FooterChar">
    <w:name w:val="Footer Char"/>
    <w:basedOn w:val="DefaultParagraphFont"/>
    <w:link w:val="Footer"/>
    <w:uiPriority w:val="99"/>
    <w:rsid w:val="00D8231D"/>
  </w:style>
  <w:style w:type="paragraph" w:styleId="ListParagraph">
    <w:name w:val="List Paragraph"/>
    <w:basedOn w:val="Normal"/>
    <w:uiPriority w:val="34"/>
    <w:qFormat/>
    <w:rsid w:val="00250160"/>
    <w:pPr>
      <w:spacing w:before="60" w:after="60"/>
      <w:ind w:left="720"/>
      <w:contextualSpacing/>
    </w:pPr>
    <w:rPr>
      <w:rFonts w:asciiTheme="minorHAnsi" w:hAnsiTheme="minorHAnsi" w:cstheme="minorBidi"/>
      <w:sz w:val="22"/>
      <w:szCs w:val="22"/>
      <w:lang w:val="en-ZA"/>
    </w:rPr>
  </w:style>
  <w:style w:type="character" w:styleId="Strong">
    <w:name w:val="Strong"/>
    <w:uiPriority w:val="99"/>
    <w:qFormat/>
    <w:rsid w:val="007E0BA9"/>
    <w:rPr>
      <w:b/>
      <w:bCs/>
    </w:rPr>
  </w:style>
  <w:style w:type="paragraph" w:styleId="NormalWeb">
    <w:name w:val="Normal (Web)"/>
    <w:basedOn w:val="Normal"/>
    <w:uiPriority w:val="99"/>
    <w:rsid w:val="003F7A63"/>
    <w:pPr>
      <w:spacing w:before="30" w:after="30"/>
      <w:ind w:left="30" w:right="30"/>
    </w:pPr>
    <w:rPr>
      <w:rFonts w:ascii="Verdana" w:eastAsia="Arial Unicode MS" w:hAnsi="Verdana" w:cs="Arial Unicode MS"/>
      <w:color w:val="000000"/>
      <w:sz w:val="17"/>
      <w:szCs w:val="17"/>
    </w:rPr>
  </w:style>
  <w:style w:type="paragraph" w:styleId="FootnoteText">
    <w:name w:val="footnote text"/>
    <w:basedOn w:val="Normal"/>
    <w:link w:val="FootnoteTextChar"/>
    <w:semiHidden/>
    <w:rsid w:val="006065D8"/>
    <w:pPr>
      <w:spacing w:before="60"/>
    </w:pPr>
    <w:rPr>
      <w:rFonts w:eastAsia="Times New Roman"/>
      <w:sz w:val="20"/>
      <w:szCs w:val="20"/>
      <w:lang w:val="en-GB"/>
    </w:rPr>
  </w:style>
  <w:style w:type="character" w:customStyle="1" w:styleId="FootnoteTextChar">
    <w:name w:val="Footnote Text Char"/>
    <w:basedOn w:val="DefaultParagraphFont"/>
    <w:link w:val="FootnoteText"/>
    <w:semiHidden/>
    <w:rsid w:val="006065D8"/>
    <w:rPr>
      <w:rFonts w:ascii="Times New Roman" w:eastAsia="Times New Roman" w:hAnsi="Times New Roman" w:cs="Times New Roman"/>
      <w:sz w:val="20"/>
      <w:szCs w:val="20"/>
      <w:lang w:val="en-GB"/>
    </w:rPr>
  </w:style>
  <w:style w:type="character" w:styleId="FootnoteReference">
    <w:name w:val="footnote reference"/>
    <w:semiHidden/>
    <w:rsid w:val="006065D8"/>
    <w:rPr>
      <w:vertAlign w:val="superscript"/>
    </w:rPr>
  </w:style>
  <w:style w:type="paragraph" w:styleId="CommentText">
    <w:name w:val="annotation text"/>
    <w:basedOn w:val="Normal"/>
    <w:link w:val="CommentTextChar"/>
    <w:semiHidden/>
    <w:rsid w:val="00EC16A4"/>
    <w:rPr>
      <w:rFonts w:eastAsia="Times New Roman"/>
      <w:sz w:val="20"/>
      <w:szCs w:val="20"/>
      <w:lang w:val="en-GB"/>
    </w:rPr>
  </w:style>
  <w:style w:type="character" w:customStyle="1" w:styleId="CommentTextChar">
    <w:name w:val="Comment Text Char"/>
    <w:basedOn w:val="DefaultParagraphFont"/>
    <w:link w:val="CommentText"/>
    <w:semiHidden/>
    <w:rsid w:val="00EC16A4"/>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C15F45"/>
    <w:rPr>
      <w:color w:val="542378" w:themeColor="hyperlink"/>
      <w:u w:val="single"/>
    </w:rPr>
  </w:style>
  <w:style w:type="paragraph" w:styleId="BalloonText">
    <w:name w:val="Balloon Text"/>
    <w:basedOn w:val="Normal"/>
    <w:link w:val="BalloonTextChar"/>
    <w:uiPriority w:val="99"/>
    <w:semiHidden/>
    <w:unhideWhenUsed/>
    <w:rsid w:val="00E247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70E"/>
    <w:rPr>
      <w:rFonts w:ascii="Segoe UI" w:hAnsi="Segoe UI" w:cs="Segoe UI"/>
      <w:sz w:val="18"/>
      <w:szCs w:val="18"/>
    </w:rPr>
  </w:style>
  <w:style w:type="character" w:customStyle="1" w:styleId="Heading1Char">
    <w:name w:val="Heading 1 Char"/>
    <w:basedOn w:val="DefaultParagraphFont"/>
    <w:link w:val="Heading1"/>
    <w:rsid w:val="00EB72EE"/>
    <w:rPr>
      <w:rFonts w:ascii="Times New Roman" w:eastAsia="Times New Roman" w:hAnsi="Times New Roman" w:cs="Times New Roman"/>
      <w:b/>
      <w:bCs/>
      <w:sz w:val="40"/>
      <w:szCs w:val="24"/>
      <w:u w:val="single"/>
      <w:lang w:val="en-GB"/>
    </w:rPr>
  </w:style>
  <w:style w:type="paragraph" w:styleId="BodyText">
    <w:name w:val="Body Text"/>
    <w:basedOn w:val="Normal"/>
    <w:link w:val="BodyTextChar"/>
    <w:rsid w:val="007644DA"/>
    <w:rPr>
      <w:rFonts w:ascii="Arial" w:eastAsia="Times New Roman" w:hAnsi="Arial"/>
      <w:sz w:val="28"/>
      <w:szCs w:val="20"/>
      <w:lang w:val="en-GB"/>
    </w:rPr>
  </w:style>
  <w:style w:type="character" w:customStyle="1" w:styleId="BodyTextChar">
    <w:name w:val="Body Text Char"/>
    <w:basedOn w:val="DefaultParagraphFont"/>
    <w:link w:val="BodyText"/>
    <w:rsid w:val="007644DA"/>
    <w:rPr>
      <w:rFonts w:ascii="Arial" w:eastAsia="Times New Roman" w:hAnsi="Arial" w:cs="Times New Roman"/>
      <w:sz w:val="28"/>
      <w:szCs w:val="20"/>
      <w:lang w:val="en-GB"/>
    </w:rPr>
  </w:style>
  <w:style w:type="paragraph" w:styleId="Revision">
    <w:name w:val="Revision"/>
    <w:hidden/>
    <w:uiPriority w:val="99"/>
    <w:semiHidden/>
    <w:rsid w:val="002D6595"/>
    <w:pPr>
      <w:spacing w:before="0" w:after="0"/>
    </w:pPr>
  </w:style>
  <w:style w:type="character" w:customStyle="1" w:styleId="Heading6Char">
    <w:name w:val="Heading 6 Char"/>
    <w:basedOn w:val="DefaultParagraphFont"/>
    <w:link w:val="Heading6"/>
    <w:uiPriority w:val="9"/>
    <w:semiHidden/>
    <w:rsid w:val="002D6595"/>
    <w:rPr>
      <w:rFonts w:asciiTheme="majorHAnsi" w:eastAsiaTheme="majorEastAsia" w:hAnsiTheme="majorHAnsi" w:cstheme="majorBidi"/>
      <w:color w:val="29113B" w:themeColor="accent1" w:themeShade="7F"/>
    </w:rPr>
  </w:style>
  <w:style w:type="paragraph" w:styleId="BodyTextIndent">
    <w:name w:val="Body Text Indent"/>
    <w:basedOn w:val="Normal"/>
    <w:link w:val="BodyTextIndentChar"/>
    <w:uiPriority w:val="99"/>
    <w:unhideWhenUsed/>
    <w:rsid w:val="00A362C7"/>
    <w:pPr>
      <w:spacing w:before="60" w:after="120"/>
      <w:ind w:left="360"/>
    </w:pPr>
    <w:rPr>
      <w:rFonts w:asciiTheme="minorHAnsi" w:hAnsiTheme="minorHAnsi" w:cstheme="minorBidi"/>
      <w:sz w:val="22"/>
      <w:szCs w:val="22"/>
      <w:lang w:val="en-ZA"/>
    </w:rPr>
  </w:style>
  <w:style w:type="character" w:customStyle="1" w:styleId="BodyTextIndentChar">
    <w:name w:val="Body Text Indent Char"/>
    <w:basedOn w:val="DefaultParagraphFont"/>
    <w:link w:val="BodyTextIndent"/>
    <w:uiPriority w:val="99"/>
    <w:rsid w:val="00A362C7"/>
  </w:style>
  <w:style w:type="paragraph" w:styleId="BodyText2">
    <w:name w:val="Body Text 2"/>
    <w:basedOn w:val="Normal"/>
    <w:link w:val="BodyText2Char"/>
    <w:uiPriority w:val="99"/>
    <w:semiHidden/>
    <w:unhideWhenUsed/>
    <w:rsid w:val="00A62A1D"/>
    <w:pPr>
      <w:spacing w:after="120" w:line="480" w:lineRule="auto"/>
    </w:pPr>
  </w:style>
  <w:style w:type="character" w:customStyle="1" w:styleId="BodyText2Char">
    <w:name w:val="Body Text 2 Char"/>
    <w:basedOn w:val="DefaultParagraphFont"/>
    <w:link w:val="BodyText2"/>
    <w:uiPriority w:val="99"/>
    <w:semiHidden/>
    <w:rsid w:val="00A62A1D"/>
  </w:style>
  <w:style w:type="paragraph" w:styleId="BodyTextIndent2">
    <w:name w:val="Body Text Indent 2"/>
    <w:basedOn w:val="Normal"/>
    <w:link w:val="BodyTextIndent2Char"/>
    <w:uiPriority w:val="99"/>
    <w:semiHidden/>
    <w:unhideWhenUsed/>
    <w:rsid w:val="00A62A1D"/>
    <w:pPr>
      <w:spacing w:after="120" w:line="480" w:lineRule="auto"/>
      <w:ind w:left="283"/>
    </w:pPr>
  </w:style>
  <w:style w:type="character" w:customStyle="1" w:styleId="BodyTextIndent2Char">
    <w:name w:val="Body Text Indent 2 Char"/>
    <w:basedOn w:val="DefaultParagraphFont"/>
    <w:link w:val="BodyTextIndent2"/>
    <w:uiPriority w:val="99"/>
    <w:semiHidden/>
    <w:rsid w:val="00A62A1D"/>
  </w:style>
  <w:style w:type="paragraph" w:customStyle="1" w:styleId="1AutoList1">
    <w:name w:val="1AutoList1"/>
    <w:uiPriority w:val="99"/>
    <w:rsid w:val="00A62A1D"/>
    <w:pPr>
      <w:widowControl w:val="0"/>
      <w:tabs>
        <w:tab w:val="left" w:pos="720"/>
      </w:tabs>
      <w:autoSpaceDE w:val="0"/>
      <w:autoSpaceDN w:val="0"/>
      <w:adjustRightInd w:val="0"/>
      <w:spacing w:before="0" w:after="0"/>
      <w:ind w:left="720" w:hanging="720"/>
      <w:jc w:val="both"/>
    </w:pPr>
    <w:rPr>
      <w:rFonts w:ascii="Times New Roman" w:eastAsia="Times New Roman" w:hAnsi="Times New Roman" w:cs="Times New Roman"/>
      <w:sz w:val="24"/>
      <w:szCs w:val="24"/>
      <w:lang w:val="en-US"/>
    </w:rPr>
  </w:style>
  <w:style w:type="paragraph" w:customStyle="1" w:styleId="p1">
    <w:name w:val="p1"/>
    <w:basedOn w:val="Normal"/>
    <w:rsid w:val="00076DE9"/>
    <w:rPr>
      <w:rFonts w:ascii="Helvetica" w:hAnsi="Helvetica"/>
      <w:color w:val="232323"/>
      <w:sz w:val="17"/>
      <w:szCs w:val="17"/>
    </w:rPr>
  </w:style>
  <w:style w:type="character" w:customStyle="1" w:styleId="apple-converted-space">
    <w:name w:val="apple-converted-space"/>
    <w:basedOn w:val="DefaultParagraphFont"/>
    <w:rsid w:val="00395A9E"/>
  </w:style>
  <w:style w:type="character" w:customStyle="1" w:styleId="s1">
    <w:name w:val="s1"/>
    <w:basedOn w:val="DefaultParagraphFont"/>
    <w:rsid w:val="00395A9E"/>
    <w:rPr>
      <w:color w:val="011994"/>
    </w:rPr>
  </w:style>
  <w:style w:type="paragraph" w:customStyle="1" w:styleId="p2">
    <w:name w:val="p2"/>
    <w:basedOn w:val="Normal"/>
    <w:rsid w:val="00662BBE"/>
    <w:rPr>
      <w:rFonts w:ascii="Times" w:hAnsi="Times"/>
      <w:sz w:val="21"/>
      <w:szCs w:val="21"/>
    </w:rPr>
  </w:style>
  <w:style w:type="paragraph" w:customStyle="1" w:styleId="p3">
    <w:name w:val="p3"/>
    <w:basedOn w:val="Normal"/>
    <w:rsid w:val="00662BBE"/>
    <w:pPr>
      <w:spacing w:line="302" w:lineRule="atLeast"/>
    </w:pPr>
    <w:rPr>
      <w:rFonts w:ascii="Times" w:hAnsi="Times"/>
      <w:color w:val="ADACA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893005">
      <w:bodyDiv w:val="1"/>
      <w:marLeft w:val="0"/>
      <w:marRight w:val="0"/>
      <w:marTop w:val="0"/>
      <w:marBottom w:val="0"/>
      <w:divBdr>
        <w:top w:val="none" w:sz="0" w:space="0" w:color="auto"/>
        <w:left w:val="none" w:sz="0" w:space="0" w:color="auto"/>
        <w:bottom w:val="none" w:sz="0" w:space="0" w:color="auto"/>
        <w:right w:val="none" w:sz="0" w:space="0" w:color="auto"/>
      </w:divBdr>
    </w:div>
    <w:div w:id="398671988">
      <w:bodyDiv w:val="1"/>
      <w:marLeft w:val="0"/>
      <w:marRight w:val="0"/>
      <w:marTop w:val="0"/>
      <w:marBottom w:val="0"/>
      <w:divBdr>
        <w:top w:val="none" w:sz="0" w:space="0" w:color="auto"/>
        <w:left w:val="none" w:sz="0" w:space="0" w:color="auto"/>
        <w:bottom w:val="none" w:sz="0" w:space="0" w:color="auto"/>
        <w:right w:val="none" w:sz="0" w:space="0" w:color="auto"/>
      </w:divBdr>
    </w:div>
    <w:div w:id="827480105">
      <w:bodyDiv w:val="1"/>
      <w:marLeft w:val="0"/>
      <w:marRight w:val="0"/>
      <w:marTop w:val="0"/>
      <w:marBottom w:val="0"/>
      <w:divBdr>
        <w:top w:val="none" w:sz="0" w:space="0" w:color="auto"/>
        <w:left w:val="none" w:sz="0" w:space="0" w:color="auto"/>
        <w:bottom w:val="none" w:sz="0" w:space="0" w:color="auto"/>
        <w:right w:val="none" w:sz="0" w:space="0" w:color="auto"/>
      </w:divBdr>
    </w:div>
    <w:div w:id="841239244">
      <w:bodyDiv w:val="1"/>
      <w:marLeft w:val="0"/>
      <w:marRight w:val="0"/>
      <w:marTop w:val="0"/>
      <w:marBottom w:val="0"/>
      <w:divBdr>
        <w:top w:val="none" w:sz="0" w:space="0" w:color="auto"/>
        <w:left w:val="none" w:sz="0" w:space="0" w:color="auto"/>
        <w:bottom w:val="none" w:sz="0" w:space="0" w:color="auto"/>
        <w:right w:val="none" w:sz="0" w:space="0" w:color="auto"/>
      </w:divBdr>
    </w:div>
    <w:div w:id="843861019">
      <w:bodyDiv w:val="1"/>
      <w:marLeft w:val="0"/>
      <w:marRight w:val="0"/>
      <w:marTop w:val="0"/>
      <w:marBottom w:val="0"/>
      <w:divBdr>
        <w:top w:val="none" w:sz="0" w:space="0" w:color="auto"/>
        <w:left w:val="none" w:sz="0" w:space="0" w:color="auto"/>
        <w:bottom w:val="none" w:sz="0" w:space="0" w:color="auto"/>
        <w:right w:val="none" w:sz="0" w:space="0" w:color="auto"/>
      </w:divBdr>
    </w:div>
    <w:div w:id="962417084">
      <w:bodyDiv w:val="1"/>
      <w:marLeft w:val="0"/>
      <w:marRight w:val="0"/>
      <w:marTop w:val="0"/>
      <w:marBottom w:val="0"/>
      <w:divBdr>
        <w:top w:val="none" w:sz="0" w:space="0" w:color="auto"/>
        <w:left w:val="none" w:sz="0" w:space="0" w:color="auto"/>
        <w:bottom w:val="none" w:sz="0" w:space="0" w:color="auto"/>
        <w:right w:val="none" w:sz="0" w:space="0" w:color="auto"/>
      </w:divBdr>
    </w:div>
    <w:div w:id="986670877">
      <w:bodyDiv w:val="1"/>
      <w:marLeft w:val="0"/>
      <w:marRight w:val="0"/>
      <w:marTop w:val="0"/>
      <w:marBottom w:val="0"/>
      <w:divBdr>
        <w:top w:val="none" w:sz="0" w:space="0" w:color="auto"/>
        <w:left w:val="none" w:sz="0" w:space="0" w:color="auto"/>
        <w:bottom w:val="none" w:sz="0" w:space="0" w:color="auto"/>
        <w:right w:val="none" w:sz="0" w:space="0" w:color="auto"/>
      </w:divBdr>
    </w:div>
    <w:div w:id="990018731">
      <w:bodyDiv w:val="1"/>
      <w:marLeft w:val="0"/>
      <w:marRight w:val="0"/>
      <w:marTop w:val="0"/>
      <w:marBottom w:val="0"/>
      <w:divBdr>
        <w:top w:val="none" w:sz="0" w:space="0" w:color="auto"/>
        <w:left w:val="none" w:sz="0" w:space="0" w:color="auto"/>
        <w:bottom w:val="none" w:sz="0" w:space="0" w:color="auto"/>
        <w:right w:val="none" w:sz="0" w:space="0" w:color="auto"/>
      </w:divBdr>
    </w:div>
    <w:div w:id="1488282847">
      <w:bodyDiv w:val="1"/>
      <w:marLeft w:val="0"/>
      <w:marRight w:val="0"/>
      <w:marTop w:val="0"/>
      <w:marBottom w:val="0"/>
      <w:divBdr>
        <w:top w:val="none" w:sz="0" w:space="0" w:color="auto"/>
        <w:left w:val="none" w:sz="0" w:space="0" w:color="auto"/>
        <w:bottom w:val="none" w:sz="0" w:space="0" w:color="auto"/>
        <w:right w:val="none" w:sz="0" w:space="0" w:color="auto"/>
      </w:divBdr>
    </w:div>
    <w:div w:id="1553613195">
      <w:bodyDiv w:val="1"/>
      <w:marLeft w:val="0"/>
      <w:marRight w:val="0"/>
      <w:marTop w:val="0"/>
      <w:marBottom w:val="0"/>
      <w:divBdr>
        <w:top w:val="none" w:sz="0" w:space="0" w:color="auto"/>
        <w:left w:val="none" w:sz="0" w:space="0" w:color="auto"/>
        <w:bottom w:val="none" w:sz="0" w:space="0" w:color="auto"/>
        <w:right w:val="none" w:sz="0" w:space="0" w:color="auto"/>
      </w:divBdr>
    </w:div>
    <w:div w:id="1572698362">
      <w:bodyDiv w:val="1"/>
      <w:marLeft w:val="0"/>
      <w:marRight w:val="0"/>
      <w:marTop w:val="0"/>
      <w:marBottom w:val="0"/>
      <w:divBdr>
        <w:top w:val="none" w:sz="0" w:space="0" w:color="auto"/>
        <w:left w:val="none" w:sz="0" w:space="0" w:color="auto"/>
        <w:bottom w:val="none" w:sz="0" w:space="0" w:color="auto"/>
        <w:right w:val="none" w:sz="0" w:space="0" w:color="auto"/>
      </w:divBdr>
    </w:div>
    <w:div w:id="2031909351">
      <w:bodyDiv w:val="1"/>
      <w:marLeft w:val="0"/>
      <w:marRight w:val="0"/>
      <w:marTop w:val="0"/>
      <w:marBottom w:val="0"/>
      <w:divBdr>
        <w:top w:val="none" w:sz="0" w:space="0" w:color="auto"/>
        <w:left w:val="none" w:sz="0" w:space="0" w:color="auto"/>
        <w:bottom w:val="none" w:sz="0" w:space="0" w:color="auto"/>
        <w:right w:val="none" w:sz="0" w:space="0" w:color="auto"/>
      </w:divBdr>
    </w:div>
    <w:div w:id="2060202716">
      <w:bodyDiv w:val="1"/>
      <w:marLeft w:val="0"/>
      <w:marRight w:val="0"/>
      <w:marTop w:val="0"/>
      <w:marBottom w:val="0"/>
      <w:divBdr>
        <w:top w:val="none" w:sz="0" w:space="0" w:color="auto"/>
        <w:left w:val="none" w:sz="0" w:space="0" w:color="auto"/>
        <w:bottom w:val="none" w:sz="0" w:space="0" w:color="auto"/>
        <w:right w:val="none" w:sz="0" w:space="0" w:color="auto"/>
      </w:divBdr>
    </w:div>
    <w:div w:id="208217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ru.ac.za/governance/rupolicies/" TargetMode="Externa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3">
      <a:dk1>
        <a:srgbClr val="2F2B20"/>
      </a:dk1>
      <a:lt1>
        <a:srgbClr val="2F2B20"/>
      </a:lt1>
      <a:dk2>
        <a:srgbClr val="FFFFFF"/>
      </a:dk2>
      <a:lt2>
        <a:srgbClr val="DFDCB7"/>
      </a:lt2>
      <a:accent1>
        <a:srgbClr val="542378"/>
      </a:accent1>
      <a:accent2>
        <a:srgbClr val="7030A0"/>
      </a:accent2>
      <a:accent3>
        <a:srgbClr val="720099"/>
      </a:accent3>
      <a:accent4>
        <a:srgbClr val="AB73D5"/>
      </a:accent4>
      <a:accent5>
        <a:srgbClr val="800080"/>
      </a:accent5>
      <a:accent6>
        <a:srgbClr val="720099"/>
      </a:accent6>
      <a:hlink>
        <a:srgbClr val="542378"/>
      </a:hlink>
      <a:folHlink>
        <a:srgbClr val="9900CC"/>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3377</Words>
  <Characters>19249</Characters>
  <Application>Microsoft Macintosh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22581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spnk</dc:creator>
  <cp:keywords/>
  <dc:description/>
  <cp:lastModifiedBy>Microsoft Office User</cp:lastModifiedBy>
  <cp:revision>2</cp:revision>
  <cp:lastPrinted>2015-07-10T07:05:00Z</cp:lastPrinted>
  <dcterms:created xsi:type="dcterms:W3CDTF">2018-01-16T07:47:00Z</dcterms:created>
  <dcterms:modified xsi:type="dcterms:W3CDTF">2018-01-16T07:47:00Z</dcterms:modified>
</cp:coreProperties>
</file>