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6F7D" w:rsidRPr="00DB6F7D" w:rsidRDefault="00DB6F7D" w:rsidP="00DB6F7D">
      <w:pPr>
        <w:shd w:val="clear" w:color="auto" w:fill="6FB3B3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5454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C5454"/>
          <w:sz w:val="24"/>
          <w:szCs w:val="24"/>
        </w:rPr>
        <w:fldChar w:fldCharType="begin"/>
      </w:r>
      <w:r w:rsidRPr="00DB6F7D">
        <w:rPr>
          <w:rFonts w:ascii="Times New Roman" w:eastAsia="Times New Roman" w:hAnsi="Times New Roman" w:cs="Times New Roman"/>
          <w:b/>
          <w:bCs/>
          <w:color w:val="2C5454"/>
          <w:sz w:val="24"/>
          <w:szCs w:val="24"/>
        </w:rPr>
        <w:instrText xml:space="preserve"> HYPERLINK "http://www.dissolutionconference.co.za/index.php/programme" </w:instrText>
      </w:r>
      <w:r w:rsidRPr="00DB6F7D">
        <w:rPr>
          <w:rFonts w:ascii="Times New Roman" w:eastAsia="Times New Roman" w:hAnsi="Times New Roman" w:cs="Times New Roman"/>
          <w:b/>
          <w:bCs/>
          <w:color w:val="2C5454"/>
          <w:sz w:val="24"/>
          <w:szCs w:val="24"/>
        </w:rPr>
        <w:fldChar w:fldCharType="separate"/>
      </w:r>
      <w:proofErr w:type="spellStart"/>
      <w:r w:rsidRPr="00DB6F7D">
        <w:rPr>
          <w:rFonts w:ascii="Times New Roman" w:eastAsia="Times New Roman" w:hAnsi="Times New Roman" w:cs="Times New Roman"/>
          <w:b/>
          <w:bCs/>
          <w:color w:val="356464"/>
          <w:sz w:val="24"/>
          <w:szCs w:val="24"/>
        </w:rPr>
        <w:t>Programme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color w:val="2C5454"/>
          <w:sz w:val="24"/>
          <w:szCs w:val="24"/>
        </w:rPr>
        <w:fldChar w:fldCharType="end"/>
      </w:r>
    </w:p>
    <w:p w:rsidR="00DB6F7D" w:rsidRPr="00DB6F7D" w:rsidRDefault="00DB6F7D" w:rsidP="00DB6F7D">
      <w:pPr>
        <w:shd w:val="clear" w:color="auto" w:fill="6FB3B3"/>
        <w:spacing w:before="180" w:after="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DAY 1 (Monday 2</w:t>
      </w: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  <w:vertAlign w:val="superscript"/>
        </w:rPr>
        <w:t>nd</w:t>
      </w: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 December, 2013)</w:t>
      </w:r>
    </w:p>
    <w:p w:rsidR="00DB6F7D" w:rsidRPr="00DB6F7D" w:rsidRDefault="00DB6F7D" w:rsidP="00DB6F7D">
      <w:pPr>
        <w:shd w:val="clear" w:color="auto" w:fill="6FB3B3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WELCOME AND MESSAGE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8.15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 Welcome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Professor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Isadore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Kanfer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, Chair: Organizing Committee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 Message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                               Professor Rod Walker, Dean of Pharmacy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DISSOLUTION TESTING</w:t>
      </w:r>
    </w:p>
    <w:p w:rsidR="00DB6F7D" w:rsidRPr="00DB6F7D" w:rsidRDefault="00DB6F7D" w:rsidP="00DB6F7D">
      <w:pPr>
        <w:shd w:val="clear" w:color="auto" w:fill="6FB3B3"/>
        <w:spacing w:before="18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Session Chair: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Mr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Mike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Aereboe</w:t>
      </w:r>
      <w:proofErr w:type="spellEnd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8:30 – 9:15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Updates on Dissolution/Drug Release Testing in the US Pharmacopeia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    Speaker:        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Dr.E.Stippler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(USA-USP)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9:15 -10.00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120" w:line="195" w:lineRule="atLeast"/>
              <w:ind w:left="-10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New USP Chapter 1092 Dissolution Method Development and Validation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-10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Speaker:            Dr. Johannes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Krämer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(Germany)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10:00 -10.30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ind w:left="1418" w:hanging="1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Question &amp; Answer Session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ind w:left="1418" w:hanging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                                  Moderator: Dr Mike Skinner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10.30 -11.00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                                         ~ Tea Break ~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Session Chair: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Ms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Samantha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Mukozhiwa</w:t>
      </w:r>
      <w:proofErr w:type="spellEnd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11.00 -11.45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 of Dissolution Apparatus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  Speaker:         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Dr.E.Stippler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(USA-USP)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11:45 -12.30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 Automation in Dissolution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</w:t>
            </w: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Speaker:             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Mr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Knitter (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Erweka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12.30 -1.00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Question &amp; Answer Session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                                  Moderator: Prof Rod Walker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1.00- 2.15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                                         ~ Lunch Break ~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Session Chair: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Dr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Raimar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Löbenberg</w:t>
      </w:r>
      <w:proofErr w:type="spellEnd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2.15 -3.00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USP Chapter 1088 – from the Workbench Perspective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  Speaker:          Dr. Johannes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Krämer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(Germany)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3.00 – 3.45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Bioperformance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Dissolution Standards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 Speaker:         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Dr.G.Amidon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(University of Michigan, USA)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3.45 -4.15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                                         ~ Tea Break ~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Session Chair: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Mr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Pedzisai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Makoni</w:t>
      </w:r>
      <w:proofErr w:type="spellEnd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4.15 – 5.00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 Drug Product Performance – Continuing Equivalence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  Speaker:          Dr. E.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Stippler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(USA-USP)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5.00- 5.45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                                          Questions &amp; Answer Session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 xml:space="preserve">                                  Moderator: Prof Izzy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Kanfer</w:t>
            </w:r>
            <w:proofErr w:type="spellEnd"/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after="0" w:line="240" w:lineRule="auto"/>
              <w:ind w:left="1440" w:right="-846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  END OF DAY 1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180" w:after="12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 </w:t>
      </w:r>
    </w:p>
    <w:p w:rsidR="00DB6F7D" w:rsidRPr="00DB6F7D" w:rsidRDefault="00DB6F7D" w:rsidP="00DB6F7D">
      <w:pPr>
        <w:shd w:val="clear" w:color="auto" w:fill="6FB3B3"/>
        <w:spacing w:before="180" w:after="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 </w:t>
      </w:r>
    </w:p>
    <w:p w:rsidR="00DB6F7D" w:rsidRPr="00DB6F7D" w:rsidRDefault="00DB6F7D" w:rsidP="00DB6F7D">
      <w:pPr>
        <w:shd w:val="clear" w:color="auto" w:fill="6FB3B3"/>
        <w:spacing w:before="180" w:after="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DAY 2 (Tuesday 3</w:t>
      </w: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  <w:vertAlign w:val="superscript"/>
        </w:rPr>
        <w:t>rd</w:t>
      </w: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 December, 2013)</w:t>
      </w:r>
    </w:p>
    <w:p w:rsidR="00DB6F7D" w:rsidRPr="00DB6F7D" w:rsidRDefault="00DB6F7D" w:rsidP="00DB6F7D">
      <w:pPr>
        <w:shd w:val="clear" w:color="auto" w:fill="6FB3B3"/>
        <w:spacing w:before="180" w:after="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 </w:t>
      </w:r>
    </w:p>
    <w:p w:rsidR="00DB6F7D" w:rsidRPr="00DB6F7D" w:rsidRDefault="00DB6F7D" w:rsidP="00DB6F7D">
      <w:pPr>
        <w:shd w:val="clear" w:color="auto" w:fill="6FB3B3"/>
        <w:spacing w:before="180" w:after="1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t>BIOEQUIVALENCE TESTING – CURRENT REGULATORY ASPECTS</w:t>
      </w:r>
    </w:p>
    <w:p w:rsidR="00DB6F7D" w:rsidRPr="00DB6F7D" w:rsidRDefault="00DB6F7D" w:rsidP="00DB6F7D">
      <w:pPr>
        <w:shd w:val="clear" w:color="auto" w:fill="6FB3B3"/>
        <w:spacing w:before="180" w:after="1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lastRenderedPageBreak/>
        <w:t>(USA, Canada, Europe and South Africa)</w:t>
      </w:r>
    </w:p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Session Chair: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Ms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Ashmita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Ramanah</w:t>
      </w:r>
      <w:proofErr w:type="spellEnd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8.30 – 9.00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Prediction of “Food Effects” using Dissolution Testing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ind w:right="-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  Speaker:             Dr. R.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Löbenberg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(University of Alberta, Canada)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9.00 -9.30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     USP Flow-Through Apparatus (Apparatus 4): Applications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  Speaker:          Dr. E.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Stippler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(USA-USP)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9.30 – 10.00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Bioequivalence Requirements for Market Approval of Generic Drug Products in South Africa: Current Guidelines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 Speaker:           Prof.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R.B.Walker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(Rhodes University)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10.00 -10.30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Questions &amp; Answers Session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 xml:space="preserve">                                     Moderator: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Dr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 xml:space="preserve"> Johannes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Krämer</w:t>
            </w:r>
            <w:proofErr w:type="spellEnd"/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10.30 -11.00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                                       ~ Tea Break ~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Session Chair: Dr Mike Skinner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11.00 -11.30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Canadian Guidelines for Bioequivalence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                            Speaker:           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Dr.M.Ducharme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(Health Canada)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11.30 -12.00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Options for the Bioequivalence Assessment of Topical Products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 Speaker:             Prof.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I.Kanfer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(Rhodes University)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12:00 -12:30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                                         Questions &amp; Answers Session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 xml:space="preserve">                                  Moderator: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Mr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 xml:space="preserve"> Mike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Aereboe</w:t>
            </w:r>
            <w:proofErr w:type="spellEnd"/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12:30 -2:00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                                       ~ Lunch Break ~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Session Chair: Prof Rod Walker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2:00 -2:30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Biosimilars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Regulatory Requirements for Market Approval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 Speaker:           Dr.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M.Ducharme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(Health Canada)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2:30 -3:00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 Bioequivalence Recommendations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 Speaker:             Dr.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B.Davit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(Merck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Researcjh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Labs, USA)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3:00 -3.30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Dissolution evaluation in the Office of Generic Drugs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 Speaker:           Dr.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B.Davit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(Merck Research Labs, USA)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3:30 – 4:00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                                       ~ Tea Break ~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240" w:after="120" w:line="195" w:lineRule="atLeast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Session Chair: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Dr</w:t>
      </w:r>
      <w:proofErr w:type="spellEnd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 xml:space="preserve"> Murray </w:t>
      </w:r>
      <w:proofErr w:type="spellStart"/>
      <w:r w:rsidRPr="00DB6F7D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</w:rPr>
        <w:t>Ducharme</w:t>
      </w:r>
      <w:proofErr w:type="spellEnd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79"/>
      </w:tblGrid>
      <w:tr w:rsidR="00DB6F7D" w:rsidRPr="00DB6F7D" w:rsidTr="00DB6F7D">
        <w:trPr>
          <w:trHeight w:val="28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4:00 -4:30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       Bioequivalence &amp;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Biowaivers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A WHO update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                             Speaker:          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Dr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J.Gordon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(WHO)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4:30 – 5:00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 BCS and Beyond – Limitations and Steps Towards Harmonization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            Speaker:             </w:t>
            </w:r>
            <w:proofErr w:type="spellStart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Dr.G.Amidon</w:t>
            </w:r>
            <w:proofErr w:type="spellEnd"/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(University of Michigan, USA)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5:00 – 5.30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FDA Generic Drug Products User Fees (GDUFA): Background and Implications 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                            Speaker:           Dr Lane Christensen (FDA)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5:30 – 6:00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                                        Questions &amp; Answers Session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2D050"/>
                <w:sz w:val="24"/>
                <w:szCs w:val="24"/>
              </w:rPr>
              <w:t>                                      Moderator: Prof Rod Walker</w:t>
            </w:r>
          </w:p>
        </w:tc>
      </w:tr>
      <w:tr w:rsidR="00DB6F7D" w:rsidRPr="00DB6F7D" w:rsidTr="00DB6F7D">
        <w:trPr>
          <w:trHeight w:val="2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F7D" w:rsidRPr="00DB6F7D" w:rsidRDefault="00DB6F7D" w:rsidP="00DB6F7D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 Closing Remarks</w:t>
            </w:r>
          </w:p>
        </w:tc>
      </w:tr>
    </w:tbl>
    <w:p w:rsidR="00DB6F7D" w:rsidRPr="00DB6F7D" w:rsidRDefault="00DB6F7D" w:rsidP="00DB6F7D">
      <w:pPr>
        <w:shd w:val="clear" w:color="auto" w:fill="6FB3B3"/>
        <w:spacing w:before="180" w:after="180" w:line="195" w:lineRule="atLeast"/>
        <w:jc w:val="center"/>
        <w:rPr>
          <w:rFonts w:ascii="Times New Roman" w:eastAsia="Times New Roman" w:hAnsi="Times New Roman" w:cs="Times New Roman"/>
          <w:color w:val="284D4D"/>
          <w:sz w:val="24"/>
          <w:szCs w:val="24"/>
        </w:rPr>
      </w:pPr>
      <w:r w:rsidRPr="00DB6F7D">
        <w:rPr>
          <w:rFonts w:ascii="Times New Roman" w:eastAsia="Times New Roman" w:hAnsi="Times New Roman" w:cs="Times New Roman"/>
          <w:b/>
          <w:bCs/>
          <w:color w:val="284D4D"/>
          <w:sz w:val="24"/>
          <w:szCs w:val="24"/>
        </w:rPr>
        <w:lastRenderedPageBreak/>
        <w:t> </w:t>
      </w:r>
    </w:p>
    <w:p w:rsidR="00ED2614" w:rsidRPr="00DB6F7D" w:rsidRDefault="00ED2614">
      <w:pPr>
        <w:rPr>
          <w:rFonts w:ascii="Times New Roman" w:hAnsi="Times New Roman" w:cs="Times New Roman"/>
          <w:sz w:val="24"/>
          <w:szCs w:val="24"/>
        </w:rPr>
      </w:pPr>
    </w:p>
    <w:sectPr w:rsidR="00ED2614" w:rsidRPr="00DB6F7D" w:rsidSect="00ED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7D"/>
    <w:rsid w:val="003C4DEC"/>
    <w:rsid w:val="00DB6F7D"/>
    <w:rsid w:val="00ED2614"/>
    <w:rsid w:val="00F0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3283A-3DB7-46DE-8D6D-04EC5AB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14"/>
  </w:style>
  <w:style w:type="paragraph" w:styleId="Heading2">
    <w:name w:val="heading 2"/>
    <w:basedOn w:val="Normal"/>
    <w:link w:val="Heading2Char"/>
    <w:uiPriority w:val="9"/>
    <w:qFormat/>
    <w:rsid w:val="00DB6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F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B6F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B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s0700234</dc:creator>
  <cp:keywords/>
  <dc:description/>
  <cp:lastModifiedBy>Rhodes</cp:lastModifiedBy>
  <cp:revision>2</cp:revision>
  <dcterms:created xsi:type="dcterms:W3CDTF">2013-12-02T09:46:00Z</dcterms:created>
  <dcterms:modified xsi:type="dcterms:W3CDTF">2013-12-02T09:46:00Z</dcterms:modified>
</cp:coreProperties>
</file>