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946" w:rsidRPr="00DB0946" w:rsidRDefault="00DB0946" w:rsidP="00DB0946">
      <w:pPr>
        <w:rPr>
          <w:b/>
          <w:color w:val="1F497D"/>
          <w:u w:val="single"/>
          <w:lang w:val="en-US"/>
        </w:rPr>
      </w:pPr>
      <w:bookmarkStart w:id="0" w:name="_GoBack"/>
      <w:bookmarkEnd w:id="0"/>
      <w:r w:rsidRPr="00DB0946">
        <w:rPr>
          <w:b/>
          <w:color w:val="1F497D"/>
          <w:u w:val="single"/>
          <w:lang w:val="en-US"/>
        </w:rPr>
        <w:t xml:space="preserve">BUDGET 2018 – Rationale for </w:t>
      </w:r>
      <w:r>
        <w:rPr>
          <w:b/>
          <w:color w:val="1F497D"/>
          <w:u w:val="single"/>
          <w:lang w:val="en-US"/>
        </w:rPr>
        <w:t xml:space="preserve">budget </w:t>
      </w:r>
      <w:r w:rsidRPr="00DB0946">
        <w:rPr>
          <w:b/>
          <w:color w:val="1F497D"/>
          <w:u w:val="single"/>
          <w:lang w:val="en-US"/>
        </w:rPr>
        <w:t>request from Communications &amp; Advancement</w:t>
      </w:r>
    </w:p>
    <w:p w:rsidR="00DB0946" w:rsidRDefault="00DB0946" w:rsidP="00DB0946">
      <w:pPr>
        <w:rPr>
          <w:color w:val="1F497D"/>
          <w:lang w:val="en-US"/>
        </w:rPr>
      </w:pPr>
    </w:p>
    <w:p w:rsidR="00DB0946" w:rsidRDefault="00DB0946" w:rsidP="00DB0946">
      <w:pPr>
        <w:rPr>
          <w:color w:val="1F497D"/>
          <w:lang w:val="en-US"/>
        </w:rPr>
      </w:pPr>
      <w:r>
        <w:rPr>
          <w:color w:val="1F497D"/>
          <w:lang w:val="en-US"/>
        </w:rPr>
        <w:t>Hereunder is what informs the budget request in respect of the line items which reflect significant increase. Please confirm if this is what you are referring to:</w:t>
      </w:r>
    </w:p>
    <w:p w:rsidR="00DB0946" w:rsidRDefault="00DB0946" w:rsidP="00DB0946">
      <w:pPr>
        <w:rPr>
          <w:color w:val="1F497D"/>
          <w:lang w:val="en-US"/>
        </w:rPr>
      </w:pPr>
    </w:p>
    <w:p w:rsidR="00DB0946" w:rsidRDefault="00DB0946" w:rsidP="00DB0946">
      <w:pPr>
        <w:pStyle w:val="ListParagraph"/>
      </w:pPr>
    </w:p>
    <w:p w:rsidR="00DB0946" w:rsidRDefault="00DB0946" w:rsidP="00DB0946">
      <w:pPr>
        <w:pStyle w:val="ListParagraph"/>
        <w:numPr>
          <w:ilvl w:val="0"/>
          <w:numId w:val="1"/>
        </w:numPr>
      </w:pPr>
      <w:r>
        <w:rPr>
          <w:u w:val="single"/>
        </w:rPr>
        <w:t>Consultancy fees:</w:t>
      </w:r>
      <w:r>
        <w:t xml:space="preserve">            These fees are budgeted for under different divisional cost centres </w:t>
      </w:r>
    </w:p>
    <w:p w:rsidR="00DB0946" w:rsidRDefault="00DB0946" w:rsidP="00DB0946">
      <w:pPr>
        <w:pStyle w:val="ListParagraph"/>
        <w:numPr>
          <w:ilvl w:val="0"/>
          <w:numId w:val="1"/>
        </w:numPr>
      </w:pPr>
      <w:r>
        <w:rPr>
          <w:u w:val="single"/>
        </w:rPr>
        <w:t>Entertainment</w:t>
      </w:r>
      <w:r>
        <w:t>:                 Improved networking (stakeholders, funders, media) locally, nationally and internationally to support friend-raising and fundraising.</w:t>
      </w:r>
    </w:p>
    <w:p w:rsidR="00DB0946" w:rsidRDefault="00DB0946" w:rsidP="00DB0946">
      <w:pPr>
        <w:pStyle w:val="ListParagraph"/>
        <w:numPr>
          <w:ilvl w:val="0"/>
          <w:numId w:val="1"/>
        </w:numPr>
      </w:pPr>
      <w:r>
        <w:rPr>
          <w:u w:val="single"/>
        </w:rPr>
        <w:t>Increased travel cost</w:t>
      </w:r>
      <w:r>
        <w:t xml:space="preserve">       Envisaged overseas fundraising/marketing trips (UK and USA)</w:t>
      </w:r>
    </w:p>
    <w:p w:rsidR="00DB0946" w:rsidRDefault="00DB0946" w:rsidP="00DB0946"/>
    <w:p w:rsidR="00DB0946" w:rsidRDefault="00DB0946" w:rsidP="00DB0946">
      <w:pPr>
        <w:rPr>
          <w:u w:val="single"/>
        </w:rPr>
      </w:pPr>
      <w:r>
        <w:rPr>
          <w:u w:val="single"/>
        </w:rPr>
        <w:t xml:space="preserve">Marketing </w:t>
      </w:r>
    </w:p>
    <w:p w:rsidR="00DB0946" w:rsidRDefault="00DB0946" w:rsidP="00DB0946">
      <w:pPr>
        <w:pStyle w:val="ListParagraph"/>
        <w:numPr>
          <w:ilvl w:val="0"/>
          <w:numId w:val="2"/>
        </w:numPr>
        <w:spacing w:before="240"/>
      </w:pPr>
      <w:r>
        <w:rPr>
          <w:u w:val="single"/>
        </w:rPr>
        <w:t>Marketing audio-visual materials</w:t>
      </w:r>
      <w:r>
        <w:t xml:space="preserve"> (teaching and learning, research, community engagement, staff induction) New initiatives</w:t>
      </w:r>
      <w:r>
        <w:rPr>
          <w:color w:val="1F497D"/>
        </w:rPr>
        <w:t xml:space="preserve"> </w:t>
      </w:r>
      <w:r>
        <w:t>that have not been previously funded</w:t>
      </w:r>
      <w:r>
        <w:rPr>
          <w:color w:val="1F497D"/>
        </w:rPr>
        <w:t>.</w:t>
      </w:r>
    </w:p>
    <w:p w:rsidR="00DB0946" w:rsidRDefault="00DB0946" w:rsidP="00DB0946">
      <w:pPr>
        <w:pStyle w:val="ListParagraph"/>
      </w:pPr>
    </w:p>
    <w:p w:rsidR="00DB0946" w:rsidRDefault="00DB0946" w:rsidP="00DB0946">
      <w:pPr>
        <w:pStyle w:val="ListParagraph"/>
        <w:numPr>
          <w:ilvl w:val="0"/>
          <w:numId w:val="2"/>
        </w:numPr>
      </w:pPr>
      <w:r>
        <w:t xml:space="preserve">Publications (teaching and learning, research, community engagement, staff induction) – New initiative (same as above) </w:t>
      </w:r>
    </w:p>
    <w:p w:rsidR="00DB0946" w:rsidRDefault="00DB0946" w:rsidP="00DB0946">
      <w:pPr>
        <w:pStyle w:val="ListParagraph"/>
      </w:pPr>
    </w:p>
    <w:p w:rsidR="00DB0946" w:rsidRDefault="00DB0946" w:rsidP="00DB0946">
      <w:pPr>
        <w:pStyle w:val="ListParagraph"/>
        <w:numPr>
          <w:ilvl w:val="0"/>
          <w:numId w:val="2"/>
        </w:numPr>
      </w:pPr>
      <w:r>
        <w:t>Events - Think Tank, launch events etc. – New brand positioning initiatives</w:t>
      </w:r>
    </w:p>
    <w:p w:rsidR="00DB0946" w:rsidRDefault="00DB0946" w:rsidP="00DB0946">
      <w:pPr>
        <w:pStyle w:val="ListParagraph"/>
      </w:pPr>
    </w:p>
    <w:p w:rsidR="00DB0946" w:rsidRDefault="00DB0946" w:rsidP="00DB0946">
      <w:pPr>
        <w:pStyle w:val="ListParagraph"/>
        <w:numPr>
          <w:ilvl w:val="0"/>
          <w:numId w:val="2"/>
        </w:numPr>
      </w:pPr>
      <w:r>
        <w:t xml:space="preserve">Advertising – Targeting media marketing and promotion campaigns. </w:t>
      </w:r>
    </w:p>
    <w:p w:rsidR="00DB0946" w:rsidRDefault="00DB0946" w:rsidP="00DB0946">
      <w:pPr>
        <w:pStyle w:val="ListParagraph"/>
      </w:pPr>
    </w:p>
    <w:p w:rsidR="00DB0946" w:rsidRDefault="00DB0946" w:rsidP="00DB0946">
      <w:pPr>
        <w:pStyle w:val="ListParagraph"/>
        <w:numPr>
          <w:ilvl w:val="0"/>
          <w:numId w:val="2"/>
        </w:numPr>
      </w:pPr>
      <w:r>
        <w:t>Marketing collaterals – Increased demand for marketing materials/partnerships from the University community and stakeholders (e.g. open days, strategic conferences, visits, events)</w:t>
      </w:r>
    </w:p>
    <w:p w:rsidR="00DB0946" w:rsidRPr="00DB0946" w:rsidRDefault="00DB0946" w:rsidP="00DB0946">
      <w:pPr>
        <w:rPr>
          <w:u w:val="single"/>
        </w:rPr>
      </w:pPr>
      <w:r w:rsidRPr="00DB0946">
        <w:rPr>
          <w:u w:val="single"/>
        </w:rPr>
        <w:t xml:space="preserve">Communications </w:t>
      </w:r>
    </w:p>
    <w:p w:rsidR="00DB0946" w:rsidRDefault="00DB0946" w:rsidP="00DB0946">
      <w:pPr>
        <w:pStyle w:val="ListParagraph"/>
        <w:numPr>
          <w:ilvl w:val="0"/>
          <w:numId w:val="3"/>
        </w:numPr>
      </w:pPr>
      <w:r>
        <w:t xml:space="preserve">Merchandising – New initiative that entails start-up capital for stock, front shop set up, multimedia setup for online store, staff, initial marketing etc. This amount is “payable” back to the university’s operational costs as soon as it starts showing a profit. </w:t>
      </w:r>
    </w:p>
    <w:p w:rsidR="00DB0946" w:rsidRDefault="00DB0946" w:rsidP="00DB0946">
      <w:pPr>
        <w:pStyle w:val="ListParagraph"/>
      </w:pPr>
    </w:p>
    <w:p w:rsidR="00DB0946" w:rsidRDefault="00DB0946" w:rsidP="00DB0946">
      <w:pPr>
        <w:pStyle w:val="ListParagraph"/>
        <w:numPr>
          <w:ilvl w:val="0"/>
          <w:numId w:val="3"/>
        </w:numPr>
      </w:pPr>
      <w:r>
        <w:t xml:space="preserve">Media hosting – Media conferences, facilitation of coverage, </w:t>
      </w:r>
    </w:p>
    <w:p w:rsidR="00DB0946" w:rsidRDefault="00DB0946" w:rsidP="00DB0946">
      <w:pPr>
        <w:pStyle w:val="ListParagraph"/>
      </w:pPr>
    </w:p>
    <w:p w:rsidR="00DB0946" w:rsidRDefault="00DB0946" w:rsidP="00DB0946">
      <w:pPr>
        <w:rPr>
          <w:u w:val="single"/>
        </w:rPr>
      </w:pPr>
      <w:r>
        <w:rPr>
          <w:u w:val="single"/>
        </w:rPr>
        <w:t xml:space="preserve">Development </w:t>
      </w:r>
    </w:p>
    <w:p w:rsidR="00DB0946" w:rsidRDefault="00DB0946" w:rsidP="00DB0946">
      <w:r>
        <w:t>Special fundraising Project – Aggressive Isivivane roll-out aimed at increasing 3</w:t>
      </w:r>
      <w:r>
        <w:rPr>
          <w:vertAlign w:val="superscript"/>
        </w:rPr>
        <w:t>rd</w:t>
      </w:r>
      <w:r>
        <w:t xml:space="preserve"> stream income for sustainability.</w:t>
      </w:r>
    </w:p>
    <w:p w:rsidR="00DB0946" w:rsidRDefault="00DB0946" w:rsidP="00DB0946">
      <w:pPr>
        <w:rPr>
          <w:color w:val="1F497D"/>
          <w:lang w:val="en-US"/>
        </w:rPr>
      </w:pPr>
    </w:p>
    <w:p w:rsidR="00DB0946" w:rsidRDefault="00DB0946" w:rsidP="00DB0946">
      <w:pPr>
        <w:rPr>
          <w:color w:val="1F497D"/>
        </w:rPr>
      </w:pPr>
    </w:p>
    <w:tbl>
      <w:tblPr>
        <w:tblW w:w="0" w:type="auto"/>
        <w:tblCellMar>
          <w:left w:w="0" w:type="dxa"/>
          <w:right w:w="0" w:type="dxa"/>
        </w:tblCellMar>
        <w:tblLook w:val="04A0" w:firstRow="1" w:lastRow="0" w:firstColumn="1" w:lastColumn="0" w:noHBand="0" w:noVBand="1"/>
      </w:tblPr>
      <w:tblGrid>
        <w:gridCol w:w="2630"/>
        <w:gridCol w:w="6396"/>
      </w:tblGrid>
      <w:tr w:rsidR="00DB0946" w:rsidTr="00DB0946">
        <w:tc>
          <w:tcPr>
            <w:tcW w:w="2841" w:type="dxa"/>
            <w:tcBorders>
              <w:top w:val="nil"/>
              <w:left w:val="nil"/>
              <w:bottom w:val="nil"/>
              <w:right w:val="single" w:sz="8" w:space="0" w:color="595959"/>
            </w:tcBorders>
            <w:tcMar>
              <w:top w:w="0" w:type="dxa"/>
              <w:left w:w="425" w:type="dxa"/>
              <w:bottom w:w="0" w:type="dxa"/>
              <w:right w:w="284" w:type="dxa"/>
            </w:tcMar>
            <w:vAlign w:val="center"/>
            <w:hideMark/>
          </w:tcPr>
          <w:p w:rsidR="00DB0946" w:rsidRDefault="00DB0946">
            <w:pPr>
              <w:spacing w:before="100" w:beforeAutospacing="1"/>
              <w:rPr>
                <w:rFonts w:ascii="Times New Roman" w:hAnsi="Times New Roman" w:cs="Times New Roman"/>
                <w:color w:val="1F497D"/>
                <w:sz w:val="24"/>
                <w:szCs w:val="24"/>
              </w:rPr>
            </w:pPr>
            <w:r>
              <w:rPr>
                <w:rFonts w:ascii="Times New Roman" w:hAnsi="Times New Roman" w:cs="Times New Roman"/>
                <w:noProof/>
                <w:color w:val="1F497D"/>
                <w:sz w:val="24"/>
                <w:szCs w:val="24"/>
                <w:lang w:val="en-GB" w:eastAsia="en-GB"/>
              </w:rPr>
              <w:drawing>
                <wp:inline distT="0" distB="0" distL="0" distR="0">
                  <wp:extent cx="1158240" cy="723900"/>
                  <wp:effectExtent l="0" t="0" r="3810" b="0"/>
                  <wp:docPr id="1" name="Picture 1" descr="RU_P_RGB-A4(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_P_RGB-A4(65).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158240" cy="723900"/>
                          </a:xfrm>
                          <a:prstGeom prst="rect">
                            <a:avLst/>
                          </a:prstGeom>
                          <a:noFill/>
                          <a:ln>
                            <a:noFill/>
                          </a:ln>
                        </pic:spPr>
                      </pic:pic>
                    </a:graphicData>
                  </a:graphic>
                </wp:inline>
              </w:drawing>
            </w:r>
          </w:p>
        </w:tc>
        <w:tc>
          <w:tcPr>
            <w:tcW w:w="17197" w:type="dxa"/>
            <w:tcMar>
              <w:top w:w="0" w:type="dxa"/>
              <w:left w:w="425" w:type="dxa"/>
              <w:bottom w:w="0" w:type="dxa"/>
              <w:right w:w="0" w:type="dxa"/>
            </w:tcMar>
            <w:vAlign w:val="center"/>
            <w:hideMark/>
          </w:tcPr>
          <w:p w:rsidR="00DB0946" w:rsidRDefault="00DB0946">
            <w:pPr>
              <w:spacing w:before="100" w:beforeAutospacing="1"/>
              <w:rPr>
                <w:rFonts w:ascii="Arial" w:hAnsi="Arial" w:cs="Arial"/>
                <w:color w:val="7B1272"/>
                <w:sz w:val="18"/>
                <w:szCs w:val="18"/>
              </w:rPr>
            </w:pPr>
            <w:r>
              <w:rPr>
                <w:rFonts w:ascii="Arial" w:hAnsi="Arial" w:cs="Arial"/>
                <w:b/>
                <w:bCs/>
                <w:color w:val="1F497D"/>
                <w:sz w:val="18"/>
                <w:szCs w:val="18"/>
              </w:rPr>
              <w:br/>
            </w:r>
            <w:r>
              <w:rPr>
                <w:rFonts w:ascii="Arial" w:hAnsi="Arial" w:cs="Arial"/>
                <w:b/>
                <w:bCs/>
                <w:color w:val="7B1272"/>
                <w:sz w:val="18"/>
                <w:szCs w:val="18"/>
              </w:rPr>
              <w:t xml:space="preserve">Luzuko Jacobs </w:t>
            </w:r>
            <w:r>
              <w:rPr>
                <w:rFonts w:ascii="Arial" w:hAnsi="Arial" w:cs="Arial"/>
                <w:b/>
                <w:bCs/>
                <w:color w:val="7B1272"/>
                <w:sz w:val="18"/>
                <w:szCs w:val="18"/>
              </w:rPr>
              <w:br/>
            </w:r>
            <w:r>
              <w:rPr>
                <w:rFonts w:ascii="Arial" w:hAnsi="Arial" w:cs="Arial"/>
                <w:color w:val="7B1272"/>
                <w:sz w:val="18"/>
                <w:szCs w:val="18"/>
              </w:rPr>
              <w:t xml:space="preserve">Director: Communications and Advancement </w:t>
            </w:r>
            <w:r>
              <w:rPr>
                <w:rFonts w:ascii="Arial" w:hAnsi="Arial" w:cs="Arial"/>
                <w:color w:val="7B1272"/>
                <w:sz w:val="18"/>
                <w:szCs w:val="18"/>
              </w:rPr>
              <w:br/>
              <w:t>t: +27 (0) 46 603 8514 f: +27 (0) 46</w:t>
            </w:r>
            <w:r>
              <w:rPr>
                <w:rFonts w:ascii="Arial" w:hAnsi="Arial" w:cs="Arial"/>
                <w:color w:val="1F497D"/>
                <w:sz w:val="18"/>
                <w:szCs w:val="18"/>
              </w:rPr>
              <w:t> </w:t>
            </w:r>
            <w:r>
              <w:rPr>
                <w:rFonts w:ascii="Arial" w:hAnsi="Arial" w:cs="Arial"/>
                <w:color w:val="7B1272"/>
                <w:sz w:val="18"/>
                <w:szCs w:val="18"/>
              </w:rPr>
              <w:t>603 8744</w:t>
            </w:r>
            <w:r>
              <w:rPr>
                <w:rFonts w:ascii="Arial" w:hAnsi="Arial" w:cs="Arial"/>
                <w:color w:val="009D93"/>
                <w:sz w:val="18"/>
                <w:szCs w:val="18"/>
              </w:rPr>
              <w:br/>
            </w:r>
            <w:r>
              <w:rPr>
                <w:rFonts w:ascii="Arial" w:hAnsi="Arial" w:cs="Arial"/>
                <w:color w:val="7B1272"/>
                <w:sz w:val="18"/>
                <w:szCs w:val="18"/>
              </w:rPr>
              <w:t>Alumni House, Lucas Avenue, Grahamstown, 6139</w:t>
            </w:r>
            <w:r>
              <w:rPr>
                <w:rFonts w:ascii="Arial" w:hAnsi="Arial" w:cs="Arial"/>
                <w:b/>
                <w:bCs/>
                <w:color w:val="7B1272"/>
                <w:sz w:val="18"/>
                <w:szCs w:val="18"/>
              </w:rPr>
              <w:t xml:space="preserve">  </w:t>
            </w:r>
            <w:r>
              <w:rPr>
                <w:rFonts w:ascii="Arial" w:hAnsi="Arial" w:cs="Arial"/>
                <w:b/>
                <w:bCs/>
                <w:color w:val="1F497D"/>
                <w:sz w:val="18"/>
                <w:szCs w:val="18"/>
              </w:rPr>
              <w:br/>
            </w:r>
            <w:r>
              <w:rPr>
                <w:rFonts w:ascii="Arial" w:hAnsi="Arial" w:cs="Arial"/>
                <w:color w:val="7B1272"/>
                <w:sz w:val="18"/>
                <w:szCs w:val="18"/>
              </w:rPr>
              <w:t>PO Box 94, Grahamstown, 6140, South Africa</w:t>
            </w:r>
            <w:r>
              <w:rPr>
                <w:rFonts w:ascii="Arial" w:hAnsi="Arial" w:cs="Arial"/>
                <w:color w:val="7B1272"/>
                <w:sz w:val="18"/>
                <w:szCs w:val="18"/>
              </w:rPr>
              <w:br/>
            </w:r>
            <w:hyperlink r:id="rId7" w:tgtFrame="_blank" w:history="1">
              <w:r>
                <w:rPr>
                  <w:rStyle w:val="Hyperlink"/>
                  <w:rFonts w:ascii="Arial" w:hAnsi="Arial" w:cs="Arial"/>
                  <w:b/>
                  <w:bCs/>
                  <w:color w:val="00AEC7"/>
                  <w:sz w:val="18"/>
                  <w:szCs w:val="18"/>
                </w:rPr>
                <w:t>www.ru.ac.za</w:t>
              </w:r>
            </w:hyperlink>
            <w:r>
              <w:rPr>
                <w:rFonts w:ascii="Arial" w:hAnsi="Arial" w:cs="Arial"/>
                <w:b/>
                <w:bCs/>
                <w:color w:val="009D93"/>
                <w:sz w:val="18"/>
                <w:szCs w:val="18"/>
              </w:rPr>
              <w:t xml:space="preserve"> </w:t>
            </w:r>
            <w:r>
              <w:rPr>
                <w:rFonts w:ascii="Arial" w:hAnsi="Arial" w:cs="Arial"/>
                <w:b/>
                <w:bCs/>
                <w:color w:val="1F497D"/>
                <w:sz w:val="18"/>
                <w:szCs w:val="18"/>
              </w:rPr>
              <w:br/>
              <w:t> </w:t>
            </w:r>
          </w:p>
        </w:tc>
      </w:tr>
    </w:tbl>
    <w:p w:rsidR="005D24D5" w:rsidRDefault="005D24D5"/>
    <w:sectPr w:rsidR="005D24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2D148B"/>
    <w:multiLevelType w:val="hybridMultilevel"/>
    <w:tmpl w:val="B1DE44C2"/>
    <w:lvl w:ilvl="0" w:tplc="233055A2">
      <w:start w:val="1"/>
      <w:numFmt w:val="decimal"/>
      <w:lvlText w:val="%1."/>
      <w:lvlJc w:val="left"/>
      <w:pPr>
        <w:ind w:left="720" w:hanging="360"/>
      </w:pPr>
      <w:rPr>
        <w:rFonts w:ascii="Calibri" w:eastAsia="Calibri" w:hAnsi="Calibri" w:cs="Times New Roman"/>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37901CB"/>
    <w:multiLevelType w:val="hybridMultilevel"/>
    <w:tmpl w:val="333039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8786CE4"/>
    <w:multiLevelType w:val="hybridMultilevel"/>
    <w:tmpl w:val="574676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946"/>
    <w:rsid w:val="005D24D5"/>
    <w:rsid w:val="00976DEE"/>
    <w:rsid w:val="00DB094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576056-83A6-461A-BA10-2C78B17F9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946"/>
    <w:pPr>
      <w:spacing w:after="0" w:line="240" w:lineRule="auto"/>
    </w:pPr>
    <w:rPr>
      <w:rFonts w:ascii="Calibri" w:hAnsi="Calibri" w:cs="Calibri"/>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946"/>
    <w:pPr>
      <w:spacing w:after="160" w:line="252" w:lineRule="auto"/>
      <w:ind w:left="720"/>
      <w:contextualSpacing/>
    </w:pPr>
  </w:style>
  <w:style w:type="character" w:styleId="Hyperlink">
    <w:name w:val="Hyperlink"/>
    <w:basedOn w:val="DefaultParagraphFont"/>
    <w:uiPriority w:val="99"/>
    <w:semiHidden/>
    <w:unhideWhenUsed/>
    <w:rsid w:val="00DB094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28478">
      <w:bodyDiv w:val="1"/>
      <w:marLeft w:val="0"/>
      <w:marRight w:val="0"/>
      <w:marTop w:val="0"/>
      <w:marBottom w:val="0"/>
      <w:divBdr>
        <w:top w:val="none" w:sz="0" w:space="0" w:color="auto"/>
        <w:left w:val="none" w:sz="0" w:space="0" w:color="auto"/>
        <w:bottom w:val="none" w:sz="0" w:space="0" w:color="auto"/>
        <w:right w:val="none" w:sz="0" w:space="0" w:color="auto"/>
      </w:divBdr>
    </w:div>
    <w:div w:id="165979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u.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342B2.FCCC5DA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Rhodes University</Company>
  <LinksUpToDate>false</LinksUpToDate>
  <CharactersWithSpaces>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Erasmus</dc:creator>
  <cp:keywords/>
  <dc:description/>
  <cp:lastModifiedBy>Rhodes</cp:lastModifiedBy>
  <cp:revision>2</cp:revision>
  <dcterms:created xsi:type="dcterms:W3CDTF">2017-10-18T13:12:00Z</dcterms:created>
  <dcterms:modified xsi:type="dcterms:W3CDTF">2017-10-18T13:12:00Z</dcterms:modified>
</cp:coreProperties>
</file>