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BDA" w:rsidRDefault="00865BDA" w:rsidP="00865BDA">
      <w:pPr>
        <w:jc w:val="right"/>
        <w:rPr>
          <w:sz w:val="32"/>
          <w:szCs w:val="32"/>
        </w:rPr>
      </w:pPr>
      <w:bookmarkStart w:id="0" w:name="_GoBack"/>
      <w:bookmarkEnd w:id="0"/>
      <w:r>
        <w:rPr>
          <w:rFonts w:cs="Arial"/>
          <w:noProof/>
          <w:lang w:val="en-US"/>
        </w:rPr>
        <w:drawing>
          <wp:anchor distT="0" distB="0" distL="114300" distR="114300" simplePos="0" relativeHeight="251659264" behindDoc="1" locked="0" layoutInCell="1" allowOverlap="1" wp14:anchorId="2533BD6A" wp14:editId="4CF6644C">
            <wp:simplePos x="0" y="0"/>
            <wp:positionH relativeFrom="column">
              <wp:posOffset>-89535</wp:posOffset>
            </wp:positionH>
            <wp:positionV relativeFrom="paragraph">
              <wp:posOffset>192405</wp:posOffset>
            </wp:positionV>
            <wp:extent cx="2204720" cy="562610"/>
            <wp:effectExtent l="0" t="0" r="5080" b="8890"/>
            <wp:wrapNone/>
            <wp:docPr id="1" name="Picture 1" descr="RUblack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blackhorizontal"/>
                    <pic:cNvPicPr>
                      <a:picLocks noChangeAspect="1" noChangeArrowheads="1"/>
                    </pic:cNvPicPr>
                  </pic:nvPicPr>
                  <pic:blipFill>
                    <a:blip r:embed="rId9" cstate="print"/>
                    <a:srcRect/>
                    <a:stretch>
                      <a:fillRect/>
                    </a:stretch>
                  </pic:blipFill>
                  <pic:spPr bwMode="auto">
                    <a:xfrm>
                      <a:off x="0" y="0"/>
                      <a:ext cx="2204720" cy="562610"/>
                    </a:xfrm>
                    <a:prstGeom prst="rect">
                      <a:avLst/>
                    </a:prstGeom>
                    <a:noFill/>
                    <a:ln w="9525">
                      <a:noFill/>
                      <a:miter lim="800000"/>
                      <a:headEnd/>
                      <a:tailEnd/>
                    </a:ln>
                  </pic:spPr>
                </pic:pic>
              </a:graphicData>
            </a:graphic>
          </wp:anchor>
        </w:drawing>
      </w:r>
    </w:p>
    <w:p w:rsidR="00237968" w:rsidRDefault="00237968" w:rsidP="00865BDA">
      <w:pPr>
        <w:jc w:val="right"/>
        <w:rPr>
          <w:rFonts w:asciiTheme="minorHAnsi" w:hAnsiTheme="minorHAnsi" w:cstheme="minorHAnsi"/>
          <w:b/>
          <w:sz w:val="32"/>
          <w:szCs w:val="32"/>
        </w:rPr>
      </w:pPr>
      <w:r>
        <w:rPr>
          <w:rFonts w:asciiTheme="minorHAnsi" w:hAnsiTheme="minorHAnsi" w:cstheme="minorHAnsi"/>
          <w:b/>
          <w:sz w:val="32"/>
          <w:szCs w:val="32"/>
        </w:rPr>
        <w:t xml:space="preserve">Protocol for the Determination of </w:t>
      </w:r>
    </w:p>
    <w:p w:rsidR="00E32448" w:rsidRDefault="00237968" w:rsidP="003C092E">
      <w:pPr>
        <w:jc w:val="right"/>
        <w:rPr>
          <w:rFonts w:asciiTheme="minorHAnsi" w:hAnsiTheme="minorHAnsi" w:cstheme="minorHAnsi"/>
        </w:rPr>
      </w:pPr>
      <w:proofErr w:type="gramStart"/>
      <w:r>
        <w:rPr>
          <w:rFonts w:asciiTheme="minorHAnsi" w:hAnsiTheme="minorHAnsi" w:cstheme="minorHAnsi"/>
          <w:b/>
          <w:sz w:val="32"/>
          <w:szCs w:val="32"/>
        </w:rPr>
        <w:t>the</w:t>
      </w:r>
      <w:proofErr w:type="gramEnd"/>
      <w:r>
        <w:rPr>
          <w:rFonts w:asciiTheme="minorHAnsi" w:hAnsiTheme="minorHAnsi" w:cstheme="minorHAnsi"/>
          <w:b/>
          <w:sz w:val="32"/>
          <w:szCs w:val="32"/>
        </w:rPr>
        <w:t xml:space="preserve"> Head of Department Allowance</w:t>
      </w:r>
      <w:r w:rsidR="00865BDA" w:rsidRPr="00865BDA">
        <w:rPr>
          <w:rFonts w:asciiTheme="minorHAnsi" w:hAnsiTheme="minorHAnsi" w:cstheme="minorHAnsi"/>
          <w:b/>
          <w:sz w:val="32"/>
          <w:szCs w:val="32"/>
        </w:rPr>
        <w:br/>
      </w:r>
    </w:p>
    <w:p w:rsidR="00131576" w:rsidRDefault="00131576" w:rsidP="00865BDA">
      <w:pPr>
        <w:rPr>
          <w:rFonts w:asciiTheme="minorHAnsi" w:hAnsiTheme="minorHAnsi" w:cstheme="minorHAnsi"/>
        </w:rPr>
      </w:pPr>
      <w:r>
        <w:rPr>
          <w:rFonts w:asciiTheme="minorHAnsi" w:hAnsiTheme="minorHAnsi" w:cstheme="minorHAnsi"/>
        </w:rPr>
        <w:t>The following principles shall guide the determination of the Head of Department (</w:t>
      </w:r>
      <w:proofErr w:type="spellStart"/>
      <w:r>
        <w:rPr>
          <w:rFonts w:asciiTheme="minorHAnsi" w:hAnsiTheme="minorHAnsi" w:cstheme="minorHAnsi"/>
        </w:rPr>
        <w:t>HoD</w:t>
      </w:r>
      <w:proofErr w:type="spellEnd"/>
      <w:r>
        <w:rPr>
          <w:rFonts w:asciiTheme="minorHAnsi" w:hAnsiTheme="minorHAnsi" w:cstheme="minorHAnsi"/>
        </w:rPr>
        <w:t>) allowance:</w:t>
      </w:r>
    </w:p>
    <w:p w:rsidR="00131576" w:rsidRDefault="00131576" w:rsidP="00865BDA">
      <w:pPr>
        <w:rPr>
          <w:rFonts w:asciiTheme="minorHAnsi" w:hAnsiTheme="minorHAnsi" w:cstheme="minorHAnsi"/>
        </w:rPr>
      </w:pPr>
    </w:p>
    <w:p w:rsidR="00865BDA" w:rsidRDefault="00131576" w:rsidP="00865BDA">
      <w:pPr>
        <w:pStyle w:val="ListParagraph"/>
        <w:numPr>
          <w:ilvl w:val="0"/>
          <w:numId w:val="1"/>
        </w:numPr>
        <w:rPr>
          <w:rFonts w:asciiTheme="minorHAnsi" w:hAnsiTheme="minorHAnsi" w:cstheme="minorHAnsi"/>
        </w:rPr>
      </w:pPr>
      <w:r>
        <w:rPr>
          <w:rFonts w:asciiTheme="minorHAnsi" w:hAnsiTheme="minorHAnsi" w:cstheme="minorHAnsi"/>
        </w:rPr>
        <w:t xml:space="preserve">The Head of Department </w:t>
      </w:r>
      <w:r w:rsidR="00865BDA">
        <w:rPr>
          <w:rFonts w:asciiTheme="minorHAnsi" w:hAnsiTheme="minorHAnsi" w:cstheme="minorHAnsi"/>
        </w:rPr>
        <w:t xml:space="preserve">allowance is paid to HoDs of academic departments for their responsibilities as </w:t>
      </w:r>
      <w:proofErr w:type="spellStart"/>
      <w:r w:rsidR="00865BDA">
        <w:rPr>
          <w:rFonts w:asciiTheme="minorHAnsi" w:hAnsiTheme="minorHAnsi" w:cstheme="minorHAnsi"/>
        </w:rPr>
        <w:t>HoDs</w:t>
      </w:r>
      <w:proofErr w:type="spellEnd"/>
      <w:r w:rsidR="00865BDA">
        <w:rPr>
          <w:rFonts w:asciiTheme="minorHAnsi" w:hAnsiTheme="minorHAnsi" w:cstheme="minorHAnsi"/>
        </w:rPr>
        <w:t xml:space="preserve"> for the period of their appointment, usually a three year contract in any one instance;</w:t>
      </w:r>
    </w:p>
    <w:p w:rsidR="00746E74" w:rsidRDefault="00746E74" w:rsidP="00746E74">
      <w:pPr>
        <w:pStyle w:val="ListParagraph"/>
        <w:rPr>
          <w:rFonts w:asciiTheme="minorHAnsi" w:hAnsiTheme="minorHAnsi" w:cstheme="minorHAnsi"/>
        </w:rPr>
      </w:pPr>
    </w:p>
    <w:p w:rsidR="00865BDA" w:rsidRDefault="00865BDA" w:rsidP="00865BDA">
      <w:pPr>
        <w:pStyle w:val="ListParagraph"/>
        <w:numPr>
          <w:ilvl w:val="0"/>
          <w:numId w:val="1"/>
        </w:numPr>
        <w:rPr>
          <w:rFonts w:asciiTheme="minorHAnsi" w:hAnsiTheme="minorHAnsi" w:cstheme="minorHAnsi"/>
        </w:rPr>
      </w:pPr>
      <w:r>
        <w:rPr>
          <w:rFonts w:asciiTheme="minorHAnsi" w:hAnsiTheme="minorHAnsi" w:cstheme="minorHAnsi"/>
        </w:rPr>
        <w:t xml:space="preserve">The allowance needs to be fair compensation for work done. Fairness is understood to mean both internal and external equity. </w:t>
      </w:r>
    </w:p>
    <w:p w:rsidR="008621F2" w:rsidRPr="00BE007A" w:rsidRDefault="00865BDA" w:rsidP="00084F5C">
      <w:pPr>
        <w:pStyle w:val="ListParagraph"/>
        <w:numPr>
          <w:ilvl w:val="0"/>
          <w:numId w:val="3"/>
        </w:numPr>
        <w:rPr>
          <w:rFonts w:asciiTheme="minorHAnsi" w:hAnsiTheme="minorHAnsi" w:cstheme="minorHAnsi"/>
        </w:rPr>
      </w:pPr>
      <w:r w:rsidRPr="00D97787">
        <w:rPr>
          <w:rFonts w:asciiTheme="minorHAnsi" w:hAnsiTheme="minorHAnsi" w:cstheme="minorHAnsi"/>
          <w:u w:val="single"/>
        </w:rPr>
        <w:t>Internal equity</w:t>
      </w:r>
      <w:r>
        <w:rPr>
          <w:rFonts w:asciiTheme="minorHAnsi" w:hAnsiTheme="minorHAnsi" w:cstheme="minorHAnsi"/>
        </w:rPr>
        <w:t xml:space="preserve">: </w:t>
      </w:r>
      <w:r w:rsidR="008621F2">
        <w:rPr>
          <w:rFonts w:asciiTheme="minorHAnsi" w:hAnsiTheme="minorHAnsi" w:cstheme="minorHAnsi"/>
        </w:rPr>
        <w:t>While recognising that there are core responsibilities to the role of HoD, departments do differ according to their complexity. The HoD allowance shall reflect this complexity</w:t>
      </w:r>
      <w:r w:rsidR="007715C0">
        <w:rPr>
          <w:rFonts w:asciiTheme="minorHAnsi" w:hAnsiTheme="minorHAnsi" w:cstheme="minorHAnsi"/>
        </w:rPr>
        <w:t xml:space="preserve">. </w:t>
      </w:r>
      <w:r w:rsidR="007715C0" w:rsidRPr="00AB2726">
        <w:rPr>
          <w:rFonts w:asciiTheme="minorHAnsi" w:hAnsiTheme="minorHAnsi" w:cstheme="minorHAnsi"/>
        </w:rPr>
        <w:t xml:space="preserve">It is recognised that </w:t>
      </w:r>
      <w:r w:rsidR="00937399">
        <w:rPr>
          <w:rFonts w:asciiTheme="minorHAnsi" w:hAnsiTheme="minorHAnsi" w:cstheme="minorHAnsi"/>
        </w:rPr>
        <w:t xml:space="preserve">it is possible that </w:t>
      </w:r>
      <w:r w:rsidR="007715C0" w:rsidRPr="00AB2726">
        <w:rPr>
          <w:rFonts w:asciiTheme="minorHAnsi" w:hAnsiTheme="minorHAnsi" w:cstheme="minorHAnsi"/>
        </w:rPr>
        <w:t xml:space="preserve">some departments may be more complex than some Faculties in the </w:t>
      </w:r>
      <w:r w:rsidR="007715C0" w:rsidRPr="00BE007A">
        <w:rPr>
          <w:rFonts w:asciiTheme="minorHAnsi" w:hAnsiTheme="minorHAnsi" w:cstheme="minorHAnsi"/>
        </w:rPr>
        <w:t>institution</w:t>
      </w:r>
      <w:r w:rsidR="00710162" w:rsidRPr="00BE007A">
        <w:rPr>
          <w:rFonts w:asciiTheme="minorHAnsi" w:hAnsiTheme="minorHAnsi" w:cstheme="minorHAnsi"/>
        </w:rPr>
        <w:t xml:space="preserve">. </w:t>
      </w:r>
      <w:r w:rsidR="007715C0" w:rsidRPr="00BE007A">
        <w:rPr>
          <w:rFonts w:asciiTheme="minorHAnsi" w:hAnsiTheme="minorHAnsi" w:cstheme="minorHAnsi"/>
        </w:rPr>
        <w:t xml:space="preserve"> </w:t>
      </w:r>
      <w:r w:rsidR="00710162" w:rsidRPr="00BE007A">
        <w:rPr>
          <w:rFonts w:asciiTheme="minorHAnsi" w:hAnsiTheme="minorHAnsi" w:cstheme="minorHAnsi"/>
        </w:rPr>
        <w:t>Notwithstanding this, the role of the Dean in the institution is more senior to that of a HoD</w:t>
      </w:r>
      <w:r w:rsidR="00AB2726" w:rsidRPr="00BE007A">
        <w:rPr>
          <w:rFonts w:asciiTheme="minorHAnsi" w:hAnsiTheme="minorHAnsi" w:cstheme="minorHAnsi"/>
        </w:rPr>
        <w:t xml:space="preserve"> and plays a different role</w:t>
      </w:r>
      <w:r w:rsidR="00710162" w:rsidRPr="00BE007A">
        <w:rPr>
          <w:rFonts w:asciiTheme="minorHAnsi" w:hAnsiTheme="minorHAnsi" w:cstheme="minorHAnsi"/>
        </w:rPr>
        <w:t xml:space="preserve">. Accordingly, </w:t>
      </w:r>
      <w:r w:rsidR="00937399" w:rsidRPr="00BE007A">
        <w:rPr>
          <w:rFonts w:asciiTheme="minorHAnsi" w:hAnsiTheme="minorHAnsi" w:cstheme="minorHAnsi"/>
        </w:rPr>
        <w:t xml:space="preserve">for those part-time Deans who are also HoDs, </w:t>
      </w:r>
      <w:r w:rsidR="008B125D">
        <w:rPr>
          <w:rFonts w:asciiTheme="minorHAnsi" w:hAnsiTheme="minorHAnsi" w:cstheme="minorHAnsi"/>
        </w:rPr>
        <w:t>their allowance shall</w:t>
      </w:r>
      <w:r w:rsidR="00710162" w:rsidRPr="00BE007A">
        <w:rPr>
          <w:rFonts w:asciiTheme="minorHAnsi" w:hAnsiTheme="minorHAnsi" w:cstheme="minorHAnsi"/>
        </w:rPr>
        <w:t xml:space="preserve"> be calculated in line with the protocol for the determination of the Dean’s </w:t>
      </w:r>
      <w:r w:rsidR="008B125D">
        <w:rPr>
          <w:rFonts w:asciiTheme="minorHAnsi" w:hAnsiTheme="minorHAnsi" w:cstheme="minorHAnsi"/>
        </w:rPr>
        <w:t>remuneration</w:t>
      </w:r>
      <w:r w:rsidR="008621F2" w:rsidRPr="00BE007A">
        <w:rPr>
          <w:rFonts w:asciiTheme="minorHAnsi" w:hAnsiTheme="minorHAnsi" w:cstheme="minorHAnsi"/>
        </w:rPr>
        <w:t>;</w:t>
      </w:r>
    </w:p>
    <w:p w:rsidR="00865BDA" w:rsidRDefault="008621F2" w:rsidP="00084F5C">
      <w:pPr>
        <w:pStyle w:val="ListParagraph"/>
        <w:numPr>
          <w:ilvl w:val="0"/>
          <w:numId w:val="3"/>
        </w:numPr>
        <w:rPr>
          <w:rFonts w:asciiTheme="minorHAnsi" w:hAnsiTheme="minorHAnsi" w:cstheme="minorHAnsi"/>
        </w:rPr>
      </w:pPr>
      <w:r w:rsidRPr="00D97787">
        <w:rPr>
          <w:rFonts w:asciiTheme="minorHAnsi" w:hAnsiTheme="minorHAnsi" w:cstheme="minorHAnsi"/>
          <w:u w:val="single"/>
        </w:rPr>
        <w:t>External equity</w:t>
      </w:r>
      <w:r>
        <w:rPr>
          <w:rFonts w:asciiTheme="minorHAnsi" w:hAnsiTheme="minorHAnsi" w:cstheme="minorHAnsi"/>
        </w:rPr>
        <w:t xml:space="preserve">: </w:t>
      </w:r>
      <w:r w:rsidR="00865BDA">
        <w:rPr>
          <w:rFonts w:asciiTheme="minorHAnsi" w:hAnsiTheme="minorHAnsi" w:cstheme="minorHAnsi"/>
        </w:rPr>
        <w:t xml:space="preserve"> </w:t>
      </w:r>
      <w:r>
        <w:rPr>
          <w:rFonts w:asciiTheme="minorHAnsi" w:hAnsiTheme="minorHAnsi" w:cstheme="minorHAnsi"/>
        </w:rPr>
        <w:t>T</w:t>
      </w:r>
      <w:r w:rsidR="00865BDA">
        <w:rPr>
          <w:rFonts w:asciiTheme="minorHAnsi" w:hAnsiTheme="minorHAnsi" w:cstheme="minorHAnsi"/>
        </w:rPr>
        <w:t>he allowance sh</w:t>
      </w:r>
      <w:r>
        <w:rPr>
          <w:rFonts w:asciiTheme="minorHAnsi" w:hAnsiTheme="minorHAnsi" w:cstheme="minorHAnsi"/>
        </w:rPr>
        <w:t>all</w:t>
      </w:r>
      <w:r w:rsidR="00865BDA">
        <w:rPr>
          <w:rFonts w:asciiTheme="minorHAnsi" w:hAnsiTheme="minorHAnsi" w:cstheme="minorHAnsi"/>
        </w:rPr>
        <w:t xml:space="preserve"> be benchmarked relative to what other Higher Education Institutions are paying their academic HoDs</w:t>
      </w:r>
      <w:r>
        <w:rPr>
          <w:rFonts w:asciiTheme="minorHAnsi" w:hAnsiTheme="minorHAnsi" w:cstheme="minorHAnsi"/>
        </w:rPr>
        <w:t xml:space="preserve"> for this role</w:t>
      </w:r>
      <w:r w:rsidR="00865BDA">
        <w:rPr>
          <w:rFonts w:asciiTheme="minorHAnsi" w:hAnsiTheme="minorHAnsi" w:cstheme="minorHAnsi"/>
        </w:rPr>
        <w:t xml:space="preserve"> and a rate determined within the context of affordability and the institution’s own remuneration strategy;</w:t>
      </w:r>
    </w:p>
    <w:p w:rsidR="00746E74" w:rsidRDefault="00746E74" w:rsidP="00746E74">
      <w:pPr>
        <w:pStyle w:val="ListParagraph"/>
        <w:rPr>
          <w:rFonts w:asciiTheme="minorHAnsi" w:hAnsiTheme="minorHAnsi" w:cstheme="minorHAnsi"/>
        </w:rPr>
      </w:pPr>
    </w:p>
    <w:p w:rsidR="00865BDA" w:rsidRDefault="00F70E70" w:rsidP="00865BDA">
      <w:pPr>
        <w:pStyle w:val="ListParagraph"/>
        <w:numPr>
          <w:ilvl w:val="0"/>
          <w:numId w:val="1"/>
        </w:numPr>
        <w:rPr>
          <w:rFonts w:asciiTheme="minorHAnsi" w:hAnsiTheme="minorHAnsi" w:cstheme="minorHAnsi"/>
        </w:rPr>
      </w:pPr>
      <w:r>
        <w:rPr>
          <w:rFonts w:asciiTheme="minorHAnsi" w:hAnsiTheme="minorHAnsi" w:cstheme="minorHAnsi"/>
        </w:rPr>
        <w:t xml:space="preserve">The key factors </w:t>
      </w:r>
      <w:r w:rsidR="00F95BE3">
        <w:rPr>
          <w:rFonts w:asciiTheme="minorHAnsi" w:hAnsiTheme="minorHAnsi" w:cstheme="minorHAnsi"/>
        </w:rPr>
        <w:t xml:space="preserve">(see definitions in Appendix 1) </w:t>
      </w:r>
      <w:r>
        <w:rPr>
          <w:rFonts w:asciiTheme="minorHAnsi" w:hAnsiTheme="minorHAnsi" w:cstheme="minorHAnsi"/>
        </w:rPr>
        <w:t>which determine the complexity of departments are:</w:t>
      </w:r>
      <w:r w:rsidR="008B785F">
        <w:rPr>
          <w:rFonts w:asciiTheme="minorHAnsi" w:hAnsiTheme="minorHAnsi" w:cstheme="minorHAnsi"/>
        </w:rPr>
        <w:t xml:space="preserve"> </w:t>
      </w:r>
    </w:p>
    <w:p w:rsidR="00F70E70" w:rsidRDefault="00F70E70" w:rsidP="00084F5C">
      <w:pPr>
        <w:pStyle w:val="ListParagraph"/>
        <w:numPr>
          <w:ilvl w:val="0"/>
          <w:numId w:val="4"/>
        </w:numPr>
        <w:rPr>
          <w:rFonts w:asciiTheme="minorHAnsi" w:hAnsiTheme="minorHAnsi" w:cstheme="minorHAnsi"/>
        </w:rPr>
      </w:pPr>
      <w:r w:rsidRPr="00746E74">
        <w:rPr>
          <w:rFonts w:asciiTheme="minorHAnsi" w:hAnsiTheme="minorHAnsi" w:cstheme="minorHAnsi"/>
          <w:u w:val="single"/>
        </w:rPr>
        <w:t>Staff</w:t>
      </w:r>
      <w:r w:rsidR="0002686D">
        <w:rPr>
          <w:rFonts w:asciiTheme="minorHAnsi" w:hAnsiTheme="minorHAnsi" w:cstheme="minorHAnsi"/>
        </w:rPr>
        <w:t xml:space="preserve">: the number of staff posts, </w:t>
      </w:r>
      <w:r>
        <w:rPr>
          <w:rFonts w:asciiTheme="minorHAnsi" w:hAnsiTheme="minorHAnsi" w:cstheme="minorHAnsi"/>
        </w:rPr>
        <w:t>acade</w:t>
      </w:r>
      <w:r w:rsidR="0002686D">
        <w:rPr>
          <w:rFonts w:asciiTheme="minorHAnsi" w:hAnsiTheme="minorHAnsi" w:cstheme="minorHAnsi"/>
        </w:rPr>
        <w:t>mic and support, council funded</w:t>
      </w:r>
      <w:r w:rsidR="007C0D17">
        <w:rPr>
          <w:rFonts w:asciiTheme="minorHAnsi" w:hAnsiTheme="minorHAnsi" w:cstheme="minorHAnsi"/>
        </w:rPr>
        <w:t>, permanent and contract (excluding temporary appointments against permanent appointments, on academic leave or temporary teaching budgets)</w:t>
      </w:r>
      <w:r w:rsidR="00746E74">
        <w:rPr>
          <w:rFonts w:asciiTheme="minorHAnsi" w:hAnsiTheme="minorHAnsi" w:cstheme="minorHAnsi"/>
        </w:rPr>
        <w:t>.</w:t>
      </w:r>
      <w:r w:rsidR="00CA17E5">
        <w:rPr>
          <w:rFonts w:asciiTheme="minorHAnsi" w:hAnsiTheme="minorHAnsi" w:cstheme="minorHAnsi"/>
        </w:rPr>
        <w:t xml:space="preserve"> Part-time </w:t>
      </w:r>
      <w:proofErr w:type="gramStart"/>
      <w:r w:rsidR="00CA17E5">
        <w:rPr>
          <w:rFonts w:asciiTheme="minorHAnsi" w:hAnsiTheme="minorHAnsi" w:cstheme="minorHAnsi"/>
        </w:rPr>
        <w:t>staff are</w:t>
      </w:r>
      <w:proofErr w:type="gramEnd"/>
      <w:r w:rsidR="00CA17E5">
        <w:rPr>
          <w:rFonts w:asciiTheme="minorHAnsi" w:hAnsiTheme="minorHAnsi" w:cstheme="minorHAnsi"/>
        </w:rPr>
        <w:t xml:space="preserve"> included as a percentage point e.g. someone in a 50% post is reflected as 0.5.</w:t>
      </w:r>
      <w:r w:rsidR="008B785F">
        <w:rPr>
          <w:rFonts w:asciiTheme="minorHAnsi" w:hAnsiTheme="minorHAnsi" w:cstheme="minorHAnsi"/>
        </w:rPr>
        <w:t xml:space="preserve"> Outside funded posts are not included as the value of such contracts is already reflected in department income (see 3g below). </w:t>
      </w:r>
      <w:r w:rsidR="00746E74">
        <w:rPr>
          <w:rFonts w:asciiTheme="minorHAnsi" w:hAnsiTheme="minorHAnsi" w:cstheme="minorHAnsi"/>
        </w:rPr>
        <w:t xml:space="preserve"> It is recognised that Administrative managers or similar high level support posts provide significant support to the HoD</w:t>
      </w:r>
      <w:r>
        <w:rPr>
          <w:rFonts w:asciiTheme="minorHAnsi" w:hAnsiTheme="minorHAnsi" w:cstheme="minorHAnsi"/>
        </w:rPr>
        <w:t xml:space="preserve">; </w:t>
      </w:r>
    </w:p>
    <w:p w:rsidR="00F70E70" w:rsidRPr="008452D0" w:rsidRDefault="00F70E70" w:rsidP="00084F5C">
      <w:pPr>
        <w:pStyle w:val="ListParagraph"/>
        <w:numPr>
          <w:ilvl w:val="0"/>
          <w:numId w:val="4"/>
        </w:numPr>
        <w:rPr>
          <w:rFonts w:asciiTheme="minorHAnsi" w:hAnsiTheme="minorHAnsi" w:cstheme="minorHAnsi"/>
        </w:rPr>
      </w:pPr>
      <w:r w:rsidRPr="008452D0">
        <w:rPr>
          <w:rFonts w:asciiTheme="minorHAnsi" w:hAnsiTheme="minorHAnsi" w:cstheme="minorHAnsi"/>
          <w:u w:val="single"/>
        </w:rPr>
        <w:t>Temporary teaching funds</w:t>
      </w:r>
      <w:r>
        <w:rPr>
          <w:rFonts w:asciiTheme="minorHAnsi" w:hAnsiTheme="minorHAnsi" w:cstheme="minorHAnsi"/>
        </w:rPr>
        <w:t xml:space="preserve">: as some departments have a large temporary teaching budget due to the nature of their teaching </w:t>
      </w:r>
      <w:proofErr w:type="gramStart"/>
      <w:r>
        <w:rPr>
          <w:rFonts w:asciiTheme="minorHAnsi" w:hAnsiTheme="minorHAnsi" w:cstheme="minorHAnsi"/>
        </w:rPr>
        <w:t>programme,</w:t>
      </w:r>
      <w:proofErr w:type="gramEnd"/>
      <w:r>
        <w:rPr>
          <w:rFonts w:asciiTheme="minorHAnsi" w:hAnsiTheme="minorHAnsi" w:cstheme="minorHAnsi"/>
        </w:rPr>
        <w:t xml:space="preserve"> this too shall be used to reflect the complexity related to staff</w:t>
      </w:r>
      <w:r w:rsidR="00F37B16">
        <w:rPr>
          <w:rFonts w:asciiTheme="minorHAnsi" w:hAnsiTheme="minorHAnsi" w:cstheme="minorHAnsi"/>
        </w:rPr>
        <w:t>. The value of this shall be reflected in SCUs</w:t>
      </w:r>
      <w:r w:rsidRPr="008452D0">
        <w:rPr>
          <w:rFonts w:asciiTheme="minorHAnsi" w:hAnsiTheme="minorHAnsi" w:cstheme="minorHAnsi"/>
        </w:rPr>
        <w:t>;</w:t>
      </w:r>
    </w:p>
    <w:p w:rsidR="007306A2" w:rsidRDefault="007306A2" w:rsidP="007306A2">
      <w:pPr>
        <w:ind w:left="720"/>
        <w:rPr>
          <w:rFonts w:asciiTheme="minorHAnsi" w:hAnsiTheme="minorHAnsi" w:cstheme="minorHAnsi"/>
        </w:rPr>
      </w:pPr>
    </w:p>
    <w:p w:rsidR="007D1CA3" w:rsidRDefault="007D1CA3" w:rsidP="007306A2">
      <w:pPr>
        <w:ind w:left="720"/>
        <w:rPr>
          <w:rFonts w:asciiTheme="minorHAnsi" w:hAnsiTheme="minorHAnsi" w:cstheme="minorHAnsi"/>
        </w:rPr>
      </w:pPr>
      <w:r>
        <w:rPr>
          <w:rFonts w:asciiTheme="minorHAnsi" w:hAnsiTheme="minorHAnsi" w:cstheme="minorHAnsi"/>
        </w:rPr>
        <w:t>These two factors will constitute the staff score</w:t>
      </w:r>
      <w:r w:rsidR="001656AA">
        <w:rPr>
          <w:rFonts w:asciiTheme="minorHAnsi" w:hAnsiTheme="minorHAnsi" w:cstheme="minorHAnsi"/>
        </w:rPr>
        <w:t xml:space="preserve"> which is mediated by whether or not the department has a departmental manager</w:t>
      </w:r>
      <w:r w:rsidR="007306A2">
        <w:rPr>
          <w:rFonts w:asciiTheme="minorHAnsi" w:hAnsiTheme="minorHAnsi" w:cstheme="minorHAnsi"/>
        </w:rPr>
        <w:t>. HR provides all the staff data in the calculation of the allowance.</w:t>
      </w:r>
    </w:p>
    <w:p w:rsidR="007D1CA3" w:rsidRPr="007D1CA3" w:rsidRDefault="007D1CA3" w:rsidP="007D1CA3">
      <w:pPr>
        <w:ind w:left="360"/>
        <w:rPr>
          <w:rFonts w:asciiTheme="minorHAnsi" w:hAnsiTheme="minorHAnsi" w:cstheme="minorHAnsi"/>
        </w:rPr>
      </w:pPr>
    </w:p>
    <w:p w:rsidR="007306A2" w:rsidRPr="007306A2" w:rsidRDefault="007306A2" w:rsidP="007306A2">
      <w:pPr>
        <w:ind w:left="720" w:hanging="360"/>
        <w:rPr>
          <w:rFonts w:asciiTheme="minorHAnsi" w:hAnsiTheme="minorHAnsi" w:cstheme="minorHAnsi"/>
        </w:rPr>
      </w:pPr>
      <w:r>
        <w:rPr>
          <w:rFonts w:asciiTheme="minorHAnsi" w:hAnsiTheme="minorHAnsi" w:cstheme="minorHAnsi"/>
        </w:rPr>
        <w:t>c)</w:t>
      </w:r>
      <w:r>
        <w:rPr>
          <w:rFonts w:asciiTheme="minorHAnsi" w:hAnsiTheme="minorHAnsi" w:cstheme="minorHAnsi"/>
        </w:rPr>
        <w:tab/>
        <w:t xml:space="preserve">Departmental Manager: </w:t>
      </w:r>
      <w:r w:rsidRPr="007306A2">
        <w:rPr>
          <w:rFonts w:asciiTheme="minorHAnsi" w:hAnsiTheme="minorHAnsi" w:cstheme="minorHAnsi"/>
        </w:rPr>
        <w:t>Whether or not the department has a departmental manager or other high level administrators</w:t>
      </w:r>
      <w:r>
        <w:rPr>
          <w:rFonts w:asciiTheme="minorHAnsi" w:hAnsiTheme="minorHAnsi" w:cstheme="minorHAnsi"/>
        </w:rPr>
        <w:t xml:space="preserve"> will impact the complexity of managing a department for a </w:t>
      </w:r>
      <w:proofErr w:type="spellStart"/>
      <w:r>
        <w:rPr>
          <w:rFonts w:asciiTheme="minorHAnsi" w:hAnsiTheme="minorHAnsi" w:cstheme="minorHAnsi"/>
        </w:rPr>
        <w:t>HoD</w:t>
      </w:r>
      <w:proofErr w:type="spellEnd"/>
      <w:r w:rsidRPr="007306A2">
        <w:rPr>
          <w:rFonts w:asciiTheme="minorHAnsi" w:hAnsiTheme="minorHAnsi" w:cstheme="minorHAnsi"/>
        </w:rPr>
        <w:t>. This will impact the staff score achieved i.e. the score for staffing will be mediated with this factor by 20%.</w:t>
      </w:r>
    </w:p>
    <w:p w:rsidR="007306A2" w:rsidRDefault="007306A2" w:rsidP="007306A2">
      <w:pPr>
        <w:pStyle w:val="ListParagraph"/>
        <w:rPr>
          <w:rFonts w:asciiTheme="minorHAnsi" w:hAnsiTheme="minorHAnsi" w:cstheme="minorHAnsi"/>
        </w:rPr>
      </w:pPr>
    </w:p>
    <w:p w:rsidR="00F25FE3" w:rsidRDefault="00F70E70" w:rsidP="00084F5C">
      <w:pPr>
        <w:pStyle w:val="ListParagraph"/>
        <w:numPr>
          <w:ilvl w:val="0"/>
          <w:numId w:val="4"/>
        </w:numPr>
        <w:rPr>
          <w:rFonts w:asciiTheme="minorHAnsi" w:hAnsiTheme="minorHAnsi" w:cstheme="minorHAnsi"/>
        </w:rPr>
      </w:pPr>
      <w:r w:rsidRPr="008452D0">
        <w:rPr>
          <w:rFonts w:asciiTheme="minorHAnsi" w:hAnsiTheme="minorHAnsi" w:cstheme="minorHAnsi"/>
          <w:u w:val="single"/>
        </w:rPr>
        <w:t>Students</w:t>
      </w:r>
      <w:r w:rsidRPr="00BE007A">
        <w:rPr>
          <w:rFonts w:asciiTheme="minorHAnsi" w:hAnsiTheme="minorHAnsi" w:cstheme="minorHAnsi"/>
        </w:rPr>
        <w:t xml:space="preserve">: number of </w:t>
      </w:r>
      <w:proofErr w:type="spellStart"/>
      <w:r w:rsidRPr="00BE007A">
        <w:rPr>
          <w:rFonts w:asciiTheme="minorHAnsi" w:hAnsiTheme="minorHAnsi" w:cstheme="minorHAnsi"/>
        </w:rPr>
        <w:t>un</w:t>
      </w:r>
      <w:r w:rsidR="00F25FE3">
        <w:rPr>
          <w:rFonts w:asciiTheme="minorHAnsi" w:hAnsiTheme="minorHAnsi" w:cstheme="minorHAnsi"/>
        </w:rPr>
        <w:t>weighted</w:t>
      </w:r>
      <w:proofErr w:type="spellEnd"/>
      <w:r w:rsidR="00F25FE3">
        <w:rPr>
          <w:rFonts w:asciiTheme="minorHAnsi" w:hAnsiTheme="minorHAnsi" w:cstheme="minorHAnsi"/>
        </w:rPr>
        <w:t xml:space="preserve"> un</w:t>
      </w:r>
      <w:r w:rsidRPr="00BE007A">
        <w:rPr>
          <w:rFonts w:asciiTheme="minorHAnsi" w:hAnsiTheme="minorHAnsi" w:cstheme="minorHAnsi"/>
        </w:rPr>
        <w:t xml:space="preserve">dergraduate and Honours FTEs </w:t>
      </w:r>
    </w:p>
    <w:p w:rsidR="00F70E70" w:rsidRPr="00BE007A" w:rsidRDefault="00F25FE3" w:rsidP="00084F5C">
      <w:pPr>
        <w:pStyle w:val="ListParagraph"/>
        <w:numPr>
          <w:ilvl w:val="0"/>
          <w:numId w:val="4"/>
        </w:numPr>
        <w:rPr>
          <w:rFonts w:asciiTheme="minorHAnsi" w:hAnsiTheme="minorHAnsi" w:cstheme="minorHAnsi"/>
        </w:rPr>
      </w:pPr>
      <w:r>
        <w:rPr>
          <w:rFonts w:asciiTheme="minorHAnsi" w:hAnsiTheme="minorHAnsi" w:cstheme="minorHAnsi"/>
          <w:u w:val="single"/>
        </w:rPr>
        <w:t>Students</w:t>
      </w:r>
      <w:r w:rsidRPr="00F25FE3">
        <w:rPr>
          <w:rFonts w:asciiTheme="minorHAnsi" w:hAnsiTheme="minorHAnsi" w:cstheme="minorHAnsi"/>
        </w:rPr>
        <w:t>:</w:t>
      </w:r>
      <w:r>
        <w:rPr>
          <w:rFonts w:asciiTheme="minorHAnsi" w:hAnsiTheme="minorHAnsi" w:cstheme="minorHAnsi"/>
        </w:rPr>
        <w:t xml:space="preserve"> number of </w:t>
      </w:r>
      <w:proofErr w:type="spellStart"/>
      <w:r>
        <w:rPr>
          <w:rFonts w:asciiTheme="minorHAnsi" w:hAnsiTheme="minorHAnsi" w:cstheme="minorHAnsi"/>
        </w:rPr>
        <w:t>unweighted</w:t>
      </w:r>
      <w:proofErr w:type="spellEnd"/>
      <w:r>
        <w:rPr>
          <w:rFonts w:asciiTheme="minorHAnsi" w:hAnsiTheme="minorHAnsi" w:cstheme="minorHAnsi"/>
        </w:rPr>
        <w:t xml:space="preserve"> po</w:t>
      </w:r>
      <w:r w:rsidR="00F70E70" w:rsidRPr="00BE007A">
        <w:rPr>
          <w:rFonts w:asciiTheme="minorHAnsi" w:hAnsiTheme="minorHAnsi" w:cstheme="minorHAnsi"/>
        </w:rPr>
        <w:t>st-graduate FTEs;</w:t>
      </w:r>
    </w:p>
    <w:p w:rsidR="007D1CA3" w:rsidRPr="007D1CA3" w:rsidRDefault="007D1CA3" w:rsidP="007306A2">
      <w:pPr>
        <w:ind w:left="720"/>
        <w:rPr>
          <w:rFonts w:asciiTheme="minorHAnsi" w:hAnsiTheme="minorHAnsi" w:cstheme="minorHAnsi"/>
        </w:rPr>
      </w:pPr>
      <w:r>
        <w:rPr>
          <w:rFonts w:asciiTheme="minorHAnsi" w:hAnsiTheme="minorHAnsi" w:cstheme="minorHAnsi"/>
        </w:rPr>
        <w:t>These two factors will constitute the student score</w:t>
      </w:r>
      <w:r w:rsidR="00D7424A">
        <w:rPr>
          <w:rFonts w:asciiTheme="minorHAnsi" w:hAnsiTheme="minorHAnsi" w:cstheme="minorHAnsi"/>
        </w:rPr>
        <w:t xml:space="preserve"> which is mediated by the special arrangements score</w:t>
      </w:r>
      <w:r w:rsidR="007306A2">
        <w:rPr>
          <w:rFonts w:asciiTheme="minorHAnsi" w:hAnsiTheme="minorHAnsi" w:cstheme="minorHAnsi"/>
        </w:rPr>
        <w:t>. DMU provides the FTE data.</w:t>
      </w:r>
    </w:p>
    <w:p w:rsidR="007D1CA3" w:rsidRDefault="007D1CA3" w:rsidP="007D1CA3">
      <w:pPr>
        <w:pStyle w:val="ListParagraph"/>
        <w:rPr>
          <w:rFonts w:asciiTheme="minorHAnsi" w:hAnsiTheme="minorHAnsi" w:cstheme="minorHAnsi"/>
        </w:rPr>
      </w:pPr>
    </w:p>
    <w:p w:rsidR="007306A2" w:rsidRDefault="007306A2" w:rsidP="007D1CA3">
      <w:pPr>
        <w:pStyle w:val="ListParagraph"/>
        <w:rPr>
          <w:rFonts w:asciiTheme="minorHAnsi" w:hAnsiTheme="minorHAnsi" w:cstheme="minorHAnsi"/>
        </w:rPr>
      </w:pPr>
    </w:p>
    <w:p w:rsidR="00F70E70" w:rsidRDefault="00F70E70" w:rsidP="00084F5C">
      <w:pPr>
        <w:pStyle w:val="ListParagraph"/>
        <w:numPr>
          <w:ilvl w:val="0"/>
          <w:numId w:val="4"/>
        </w:numPr>
        <w:rPr>
          <w:rFonts w:asciiTheme="minorHAnsi" w:hAnsiTheme="minorHAnsi" w:cstheme="minorHAnsi"/>
        </w:rPr>
      </w:pPr>
      <w:r w:rsidRPr="008452D0">
        <w:rPr>
          <w:rFonts w:asciiTheme="minorHAnsi" w:hAnsiTheme="minorHAnsi" w:cstheme="minorHAnsi"/>
          <w:u w:val="single"/>
        </w:rPr>
        <w:lastRenderedPageBreak/>
        <w:t>Special arrangements</w:t>
      </w:r>
      <w:r w:rsidR="000C2ACD" w:rsidRPr="008452D0">
        <w:rPr>
          <w:rFonts w:asciiTheme="minorHAnsi" w:hAnsiTheme="minorHAnsi" w:cstheme="minorHAnsi"/>
          <w:u w:val="single"/>
        </w:rPr>
        <w:t xml:space="preserve"> (teaching and other)</w:t>
      </w:r>
      <w:r w:rsidRPr="00BE007A">
        <w:rPr>
          <w:rFonts w:asciiTheme="minorHAnsi" w:hAnsiTheme="minorHAnsi" w:cstheme="minorHAnsi"/>
        </w:rPr>
        <w:t xml:space="preserve">: </w:t>
      </w:r>
      <w:r w:rsidR="00FF051C">
        <w:rPr>
          <w:rFonts w:asciiTheme="minorHAnsi" w:hAnsiTheme="minorHAnsi" w:cstheme="minorHAnsi"/>
        </w:rPr>
        <w:t xml:space="preserve">special curriculum programmes specific to department, </w:t>
      </w:r>
      <w:r w:rsidR="00E01E36">
        <w:rPr>
          <w:rFonts w:asciiTheme="minorHAnsi" w:hAnsiTheme="minorHAnsi" w:cstheme="minorHAnsi"/>
        </w:rPr>
        <w:t>percentage</w:t>
      </w:r>
      <w:r w:rsidR="00937E9C">
        <w:rPr>
          <w:rFonts w:asciiTheme="minorHAnsi" w:hAnsiTheme="minorHAnsi" w:cstheme="minorHAnsi"/>
        </w:rPr>
        <w:t xml:space="preserve"> of part-time post-graduates</w:t>
      </w:r>
      <w:r w:rsidR="00E01E36">
        <w:rPr>
          <w:rFonts w:asciiTheme="minorHAnsi" w:hAnsiTheme="minorHAnsi" w:cstheme="minorHAnsi"/>
        </w:rPr>
        <w:t xml:space="preserve"> to full-time post-graduates</w:t>
      </w:r>
      <w:r w:rsidR="00937E9C">
        <w:rPr>
          <w:rFonts w:asciiTheme="minorHAnsi" w:hAnsiTheme="minorHAnsi" w:cstheme="minorHAnsi"/>
        </w:rPr>
        <w:t xml:space="preserve">, </w:t>
      </w:r>
      <w:r w:rsidRPr="00BE007A">
        <w:rPr>
          <w:rFonts w:asciiTheme="minorHAnsi" w:hAnsiTheme="minorHAnsi" w:cstheme="minorHAnsi"/>
        </w:rPr>
        <w:t>In-service learning programmes</w:t>
      </w:r>
      <w:r>
        <w:rPr>
          <w:rFonts w:asciiTheme="minorHAnsi" w:hAnsiTheme="minorHAnsi" w:cstheme="minorHAnsi"/>
        </w:rPr>
        <w:t>, substantive off-site learning opportunities, C</w:t>
      </w:r>
      <w:r w:rsidR="008A38BC">
        <w:rPr>
          <w:rFonts w:asciiTheme="minorHAnsi" w:hAnsiTheme="minorHAnsi" w:cstheme="minorHAnsi"/>
        </w:rPr>
        <w:t>ommunity Engagement</w:t>
      </w:r>
      <w:r>
        <w:rPr>
          <w:rFonts w:asciiTheme="minorHAnsi" w:hAnsiTheme="minorHAnsi" w:cstheme="minorHAnsi"/>
        </w:rPr>
        <w:t xml:space="preserve"> outreach and awareness programmes run by department, </w:t>
      </w:r>
      <w:r w:rsidR="00B44756">
        <w:rPr>
          <w:rFonts w:asciiTheme="minorHAnsi" w:hAnsiTheme="minorHAnsi" w:cstheme="minorHAnsi"/>
        </w:rPr>
        <w:t>professional requirements that impact the curriculum</w:t>
      </w:r>
      <w:r w:rsidR="006368CB">
        <w:rPr>
          <w:rFonts w:asciiTheme="minorHAnsi" w:hAnsiTheme="minorHAnsi" w:cstheme="minorHAnsi"/>
        </w:rPr>
        <w:t>, NRF Chairs within the department, departments with multiple locations, multiple disciplines within one department</w:t>
      </w:r>
      <w:r w:rsidR="00D7424A">
        <w:rPr>
          <w:rFonts w:asciiTheme="minorHAnsi" w:hAnsiTheme="minorHAnsi" w:cstheme="minorHAnsi"/>
        </w:rPr>
        <w:t>. Each department is given a score out of 10 which is then converted to a percentage to achieve a mediated student score</w:t>
      </w:r>
      <w:r w:rsidR="00BA63C3">
        <w:rPr>
          <w:rFonts w:asciiTheme="minorHAnsi" w:hAnsiTheme="minorHAnsi" w:cstheme="minorHAnsi"/>
        </w:rPr>
        <w:t>;</w:t>
      </w:r>
      <w:r>
        <w:rPr>
          <w:rFonts w:asciiTheme="minorHAnsi" w:hAnsiTheme="minorHAnsi" w:cstheme="minorHAnsi"/>
        </w:rPr>
        <w:t xml:space="preserve"> </w:t>
      </w:r>
    </w:p>
    <w:p w:rsidR="00E67FCC" w:rsidRPr="00D7424A" w:rsidRDefault="00E67FCC" w:rsidP="00D7424A">
      <w:pPr>
        <w:ind w:left="360"/>
        <w:rPr>
          <w:rFonts w:asciiTheme="minorHAnsi" w:hAnsiTheme="minorHAnsi" w:cstheme="minorHAnsi"/>
        </w:rPr>
      </w:pPr>
    </w:p>
    <w:p w:rsidR="007E3025" w:rsidRDefault="00F70E70" w:rsidP="00084F5C">
      <w:pPr>
        <w:pStyle w:val="ListParagraph"/>
        <w:numPr>
          <w:ilvl w:val="0"/>
          <w:numId w:val="4"/>
        </w:numPr>
        <w:rPr>
          <w:rFonts w:asciiTheme="minorHAnsi" w:hAnsiTheme="minorHAnsi" w:cstheme="minorHAnsi"/>
        </w:rPr>
      </w:pPr>
      <w:r w:rsidRPr="008A38BC">
        <w:rPr>
          <w:rFonts w:asciiTheme="minorHAnsi" w:hAnsiTheme="minorHAnsi" w:cstheme="minorHAnsi"/>
          <w:u w:val="single"/>
        </w:rPr>
        <w:t xml:space="preserve">Departmental </w:t>
      </w:r>
      <w:r w:rsidR="00301AA8" w:rsidRPr="008A38BC">
        <w:rPr>
          <w:rFonts w:asciiTheme="minorHAnsi" w:hAnsiTheme="minorHAnsi" w:cstheme="minorHAnsi"/>
          <w:u w:val="single"/>
        </w:rPr>
        <w:t xml:space="preserve">RU </w:t>
      </w:r>
      <w:r w:rsidRPr="008A38BC">
        <w:rPr>
          <w:rFonts w:asciiTheme="minorHAnsi" w:hAnsiTheme="minorHAnsi" w:cstheme="minorHAnsi"/>
          <w:u w:val="single"/>
        </w:rPr>
        <w:t>cost</w:t>
      </w:r>
      <w:r w:rsidR="00301AA8" w:rsidRPr="008A38BC">
        <w:rPr>
          <w:rStyle w:val="FootnoteReference"/>
          <w:rFonts w:asciiTheme="minorHAnsi" w:hAnsiTheme="minorHAnsi" w:cstheme="minorHAnsi"/>
          <w:u w:val="single"/>
        </w:rPr>
        <w:footnoteReference w:id="1"/>
      </w:r>
      <w:r>
        <w:rPr>
          <w:rFonts w:asciiTheme="minorHAnsi" w:hAnsiTheme="minorHAnsi" w:cstheme="minorHAnsi"/>
        </w:rPr>
        <w:t xml:space="preserve">: </w:t>
      </w:r>
      <w:r w:rsidR="00301AA8">
        <w:rPr>
          <w:rFonts w:asciiTheme="minorHAnsi" w:hAnsiTheme="minorHAnsi" w:cstheme="minorHAnsi"/>
        </w:rPr>
        <w:t xml:space="preserve">departmental </w:t>
      </w:r>
      <w:r w:rsidR="0093690B">
        <w:rPr>
          <w:rFonts w:asciiTheme="minorHAnsi" w:hAnsiTheme="minorHAnsi" w:cstheme="minorHAnsi"/>
        </w:rPr>
        <w:t xml:space="preserve">running costs, research </w:t>
      </w:r>
      <w:r w:rsidR="007E3025">
        <w:rPr>
          <w:rFonts w:asciiTheme="minorHAnsi" w:hAnsiTheme="minorHAnsi" w:cstheme="minorHAnsi"/>
        </w:rPr>
        <w:t>and library costs, space costs</w:t>
      </w:r>
      <w:r w:rsidR="00512048">
        <w:rPr>
          <w:rStyle w:val="FootnoteReference"/>
          <w:rFonts w:asciiTheme="minorHAnsi" w:hAnsiTheme="minorHAnsi" w:cstheme="minorHAnsi"/>
        </w:rPr>
        <w:footnoteReference w:id="2"/>
      </w:r>
      <w:r w:rsidR="007E3025">
        <w:rPr>
          <w:rFonts w:asciiTheme="minorHAnsi" w:hAnsiTheme="minorHAnsi" w:cstheme="minorHAnsi"/>
        </w:rPr>
        <w:t>;</w:t>
      </w:r>
    </w:p>
    <w:p w:rsidR="00F70E70" w:rsidRDefault="0093690B" w:rsidP="00084F5C">
      <w:pPr>
        <w:pStyle w:val="ListParagraph"/>
        <w:numPr>
          <w:ilvl w:val="0"/>
          <w:numId w:val="4"/>
        </w:numPr>
        <w:rPr>
          <w:rFonts w:asciiTheme="minorHAnsi" w:hAnsiTheme="minorHAnsi" w:cstheme="minorHAnsi"/>
        </w:rPr>
      </w:pPr>
      <w:r w:rsidRPr="00CD256D">
        <w:rPr>
          <w:rFonts w:asciiTheme="minorHAnsi" w:hAnsiTheme="minorHAnsi" w:cstheme="minorHAnsi"/>
          <w:u w:val="single"/>
        </w:rPr>
        <w:t>Departmental income</w:t>
      </w:r>
      <w:r>
        <w:rPr>
          <w:rFonts w:asciiTheme="minorHAnsi" w:hAnsiTheme="minorHAnsi" w:cstheme="minorHAnsi"/>
        </w:rPr>
        <w:t xml:space="preserve">: </w:t>
      </w:r>
      <w:r w:rsidR="00741462">
        <w:rPr>
          <w:rFonts w:asciiTheme="minorHAnsi" w:hAnsiTheme="minorHAnsi" w:cstheme="minorHAnsi"/>
        </w:rPr>
        <w:t>funds raised by department for various projects and research in the department including monies raised by individual members of staff</w:t>
      </w:r>
      <w:r w:rsidR="00722EA6">
        <w:rPr>
          <w:rFonts w:asciiTheme="minorHAnsi" w:hAnsiTheme="minorHAnsi" w:cstheme="minorHAnsi"/>
        </w:rPr>
        <w:t>. Given that there are fluctuations with this funding, a three year average is to be used</w:t>
      </w:r>
      <w:r w:rsidR="00741462">
        <w:rPr>
          <w:rFonts w:asciiTheme="minorHAnsi" w:hAnsiTheme="minorHAnsi" w:cstheme="minorHAnsi"/>
        </w:rPr>
        <w:t>;</w:t>
      </w:r>
    </w:p>
    <w:p w:rsidR="007306A2" w:rsidRDefault="007306A2" w:rsidP="00614C85">
      <w:pPr>
        <w:ind w:left="360"/>
        <w:rPr>
          <w:rFonts w:asciiTheme="minorHAnsi" w:hAnsiTheme="minorHAnsi" w:cstheme="minorHAnsi"/>
        </w:rPr>
      </w:pPr>
    </w:p>
    <w:p w:rsidR="00614C85" w:rsidRPr="00614C85" w:rsidRDefault="00D7424A" w:rsidP="007306A2">
      <w:pPr>
        <w:ind w:left="720"/>
        <w:rPr>
          <w:rFonts w:asciiTheme="minorHAnsi" w:hAnsiTheme="minorHAnsi" w:cstheme="minorHAnsi"/>
        </w:rPr>
      </w:pPr>
      <w:r>
        <w:rPr>
          <w:rFonts w:asciiTheme="minorHAnsi" w:hAnsiTheme="minorHAnsi" w:cstheme="minorHAnsi"/>
        </w:rPr>
        <w:t>These two</w:t>
      </w:r>
      <w:r w:rsidR="00614C85" w:rsidRPr="00614C85">
        <w:rPr>
          <w:rFonts w:asciiTheme="minorHAnsi" w:hAnsiTheme="minorHAnsi" w:cstheme="minorHAnsi"/>
        </w:rPr>
        <w:t xml:space="preserve"> factors will constitute the other score.</w:t>
      </w:r>
      <w:r w:rsidR="007306A2">
        <w:rPr>
          <w:rFonts w:asciiTheme="minorHAnsi" w:hAnsiTheme="minorHAnsi" w:cstheme="minorHAnsi"/>
        </w:rPr>
        <w:t xml:space="preserve"> The departmental cost data comes from the DMU while the departmental income data comes from the Research Finance Office.</w:t>
      </w:r>
    </w:p>
    <w:p w:rsidR="00614C85" w:rsidRDefault="00614C85" w:rsidP="00614C85">
      <w:pPr>
        <w:ind w:left="360"/>
        <w:rPr>
          <w:rFonts w:asciiTheme="minorHAnsi" w:hAnsiTheme="minorHAnsi" w:cstheme="minorHAnsi"/>
        </w:rPr>
      </w:pPr>
    </w:p>
    <w:p w:rsidR="00614C85" w:rsidRDefault="00741462" w:rsidP="007306A2">
      <w:pPr>
        <w:ind w:left="720"/>
        <w:rPr>
          <w:rFonts w:asciiTheme="minorHAnsi" w:hAnsiTheme="minorHAnsi" w:cstheme="minorHAnsi"/>
        </w:rPr>
      </w:pPr>
      <w:r w:rsidRPr="00614C85">
        <w:rPr>
          <w:rFonts w:asciiTheme="minorHAnsi" w:hAnsiTheme="minorHAnsi" w:cstheme="minorHAnsi"/>
        </w:rPr>
        <w:t>Research was not listed as a factor as it was argued that this does not create complexity</w:t>
      </w:r>
      <w:r w:rsidR="00614C85">
        <w:rPr>
          <w:rFonts w:asciiTheme="minorHAnsi" w:hAnsiTheme="minorHAnsi" w:cstheme="minorHAnsi"/>
        </w:rPr>
        <w:t xml:space="preserve"> in and of itself</w:t>
      </w:r>
      <w:r w:rsidRPr="00614C85">
        <w:rPr>
          <w:rFonts w:asciiTheme="minorHAnsi" w:hAnsiTheme="minorHAnsi" w:cstheme="minorHAnsi"/>
        </w:rPr>
        <w:t>.</w:t>
      </w:r>
      <w:r w:rsidR="00614C85">
        <w:rPr>
          <w:rFonts w:asciiTheme="minorHAnsi" w:hAnsiTheme="minorHAnsi" w:cstheme="minorHAnsi"/>
        </w:rPr>
        <w:t xml:space="preserve"> Rather, w</w:t>
      </w:r>
      <w:r w:rsidRPr="00614C85">
        <w:rPr>
          <w:rFonts w:asciiTheme="minorHAnsi" w:hAnsiTheme="minorHAnsi" w:cstheme="minorHAnsi"/>
        </w:rPr>
        <w:t>hat does add complexity is</w:t>
      </w:r>
      <w:r w:rsidR="00614C85">
        <w:rPr>
          <w:rFonts w:asciiTheme="minorHAnsi" w:hAnsiTheme="minorHAnsi" w:cstheme="minorHAnsi"/>
        </w:rPr>
        <w:t>:</w:t>
      </w:r>
    </w:p>
    <w:p w:rsidR="00614C85" w:rsidRDefault="00741462" w:rsidP="00614C85">
      <w:pPr>
        <w:pStyle w:val="ListParagraph"/>
        <w:numPr>
          <w:ilvl w:val="0"/>
          <w:numId w:val="11"/>
        </w:numPr>
        <w:rPr>
          <w:rFonts w:asciiTheme="minorHAnsi" w:hAnsiTheme="minorHAnsi" w:cstheme="minorHAnsi"/>
        </w:rPr>
      </w:pPr>
      <w:r w:rsidRPr="00614C85">
        <w:rPr>
          <w:rFonts w:asciiTheme="minorHAnsi" w:hAnsiTheme="minorHAnsi" w:cstheme="minorHAnsi"/>
        </w:rPr>
        <w:t>external fundin</w:t>
      </w:r>
      <w:r w:rsidR="00614C85">
        <w:rPr>
          <w:rFonts w:asciiTheme="minorHAnsi" w:hAnsiTheme="minorHAnsi" w:cstheme="minorHAnsi"/>
        </w:rPr>
        <w:t>g (already captured under 3g)</w:t>
      </w:r>
    </w:p>
    <w:p w:rsidR="00614C85" w:rsidRDefault="00741462" w:rsidP="00614C85">
      <w:pPr>
        <w:pStyle w:val="ListParagraph"/>
        <w:numPr>
          <w:ilvl w:val="0"/>
          <w:numId w:val="11"/>
        </w:numPr>
        <w:rPr>
          <w:rFonts w:asciiTheme="minorHAnsi" w:hAnsiTheme="minorHAnsi" w:cstheme="minorHAnsi"/>
        </w:rPr>
      </w:pPr>
      <w:r w:rsidRPr="00614C85">
        <w:rPr>
          <w:rFonts w:asciiTheme="minorHAnsi" w:hAnsiTheme="minorHAnsi" w:cstheme="minorHAnsi"/>
        </w:rPr>
        <w:t xml:space="preserve"> us</w:t>
      </w:r>
      <w:r w:rsidR="009C41DD" w:rsidRPr="00614C85">
        <w:rPr>
          <w:rFonts w:asciiTheme="minorHAnsi" w:hAnsiTheme="minorHAnsi" w:cstheme="minorHAnsi"/>
        </w:rPr>
        <w:t xml:space="preserve">e of laboratories for research, </w:t>
      </w:r>
      <w:r w:rsidRPr="00614C85">
        <w:rPr>
          <w:rFonts w:asciiTheme="minorHAnsi" w:hAnsiTheme="minorHAnsi" w:cstheme="minorHAnsi"/>
        </w:rPr>
        <w:t>already captured under space and cap</w:t>
      </w:r>
      <w:r w:rsidR="00784B00" w:rsidRPr="00614C85">
        <w:rPr>
          <w:rFonts w:asciiTheme="minorHAnsi" w:hAnsiTheme="minorHAnsi" w:cstheme="minorHAnsi"/>
        </w:rPr>
        <w:t>ital equipment expenditure</w:t>
      </w:r>
    </w:p>
    <w:p w:rsidR="00741462" w:rsidRDefault="00614C85" w:rsidP="00614C85">
      <w:pPr>
        <w:pStyle w:val="ListParagraph"/>
        <w:numPr>
          <w:ilvl w:val="0"/>
          <w:numId w:val="11"/>
        </w:numPr>
        <w:rPr>
          <w:rFonts w:asciiTheme="minorHAnsi" w:hAnsiTheme="minorHAnsi" w:cstheme="minorHAnsi"/>
        </w:rPr>
      </w:pPr>
      <w:r>
        <w:rPr>
          <w:rFonts w:asciiTheme="minorHAnsi" w:hAnsiTheme="minorHAnsi" w:cstheme="minorHAnsi"/>
        </w:rPr>
        <w:t>number of technical staff (already reflected under 3a</w:t>
      </w:r>
      <w:r w:rsidR="00741462" w:rsidRPr="00614C85">
        <w:rPr>
          <w:rFonts w:asciiTheme="minorHAnsi" w:hAnsiTheme="minorHAnsi" w:cstheme="minorHAnsi"/>
        </w:rPr>
        <w:t>)</w:t>
      </w:r>
    </w:p>
    <w:p w:rsidR="00614C85" w:rsidRPr="00614C85" w:rsidRDefault="00614C85" w:rsidP="00614C85">
      <w:pPr>
        <w:pStyle w:val="ListParagraph"/>
        <w:numPr>
          <w:ilvl w:val="0"/>
          <w:numId w:val="11"/>
        </w:numPr>
        <w:rPr>
          <w:rFonts w:asciiTheme="minorHAnsi" w:hAnsiTheme="minorHAnsi" w:cstheme="minorHAnsi"/>
        </w:rPr>
      </w:pPr>
      <w:r>
        <w:rPr>
          <w:rFonts w:asciiTheme="minorHAnsi" w:hAnsiTheme="minorHAnsi" w:cstheme="minorHAnsi"/>
        </w:rPr>
        <w:t>number of post-graduate students (already captured under 3d)</w:t>
      </w:r>
    </w:p>
    <w:p w:rsidR="007D1CA3" w:rsidRPr="007D1CA3" w:rsidRDefault="007D1CA3" w:rsidP="007D1CA3">
      <w:pPr>
        <w:rPr>
          <w:rFonts w:asciiTheme="minorHAnsi" w:hAnsiTheme="minorHAnsi" w:cstheme="minorHAnsi"/>
        </w:rPr>
      </w:pPr>
    </w:p>
    <w:p w:rsidR="009E7BCE" w:rsidRPr="009E7BCE" w:rsidRDefault="007D1CA3" w:rsidP="00C947ED">
      <w:pPr>
        <w:pStyle w:val="ListParagraph"/>
        <w:numPr>
          <w:ilvl w:val="0"/>
          <w:numId w:val="1"/>
        </w:numPr>
        <w:rPr>
          <w:rFonts w:asciiTheme="minorHAnsi" w:hAnsiTheme="minorHAnsi" w:cstheme="minorHAnsi"/>
          <w:u w:val="single"/>
        </w:rPr>
      </w:pPr>
      <w:r>
        <w:rPr>
          <w:rFonts w:asciiTheme="minorHAnsi" w:hAnsiTheme="minorHAnsi" w:cstheme="minorHAnsi"/>
        </w:rPr>
        <w:t xml:space="preserve">A total score comprising the weighted staff score, weighted student score and weighted </w:t>
      </w:r>
      <w:r w:rsidR="009E7BCE">
        <w:rPr>
          <w:rFonts w:asciiTheme="minorHAnsi" w:hAnsiTheme="minorHAnsi" w:cstheme="minorHAnsi"/>
        </w:rPr>
        <w:t>other score, will be arrived at as follows:</w:t>
      </w:r>
    </w:p>
    <w:tbl>
      <w:tblPr>
        <w:tblStyle w:val="TableGrid"/>
        <w:tblW w:w="0" w:type="auto"/>
        <w:tblInd w:w="720" w:type="dxa"/>
        <w:tblLook w:val="04A0" w:firstRow="1" w:lastRow="0" w:firstColumn="1" w:lastColumn="0" w:noHBand="0" w:noVBand="1"/>
      </w:tblPr>
      <w:tblGrid>
        <w:gridCol w:w="2223"/>
        <w:gridCol w:w="2410"/>
      </w:tblGrid>
      <w:tr w:rsidR="009E7BCE" w:rsidTr="009E7BCE">
        <w:tc>
          <w:tcPr>
            <w:tcW w:w="2223" w:type="dxa"/>
          </w:tcPr>
          <w:p w:rsidR="009E7BCE" w:rsidRPr="009E7BCE" w:rsidRDefault="009E7BCE" w:rsidP="009E7BCE">
            <w:pPr>
              <w:pStyle w:val="ListParagraph"/>
              <w:ind w:left="0"/>
              <w:rPr>
                <w:rFonts w:asciiTheme="minorHAnsi" w:hAnsiTheme="minorHAnsi" w:cstheme="minorHAnsi"/>
              </w:rPr>
            </w:pPr>
          </w:p>
        </w:tc>
        <w:tc>
          <w:tcPr>
            <w:tcW w:w="2410" w:type="dxa"/>
          </w:tcPr>
          <w:p w:rsidR="009E7BCE" w:rsidRPr="009E7BCE" w:rsidRDefault="009E7BCE" w:rsidP="009E7BCE">
            <w:pPr>
              <w:pStyle w:val="ListParagraph"/>
              <w:ind w:left="0"/>
              <w:rPr>
                <w:rFonts w:asciiTheme="minorHAnsi" w:hAnsiTheme="minorHAnsi" w:cstheme="minorHAnsi"/>
              </w:rPr>
            </w:pPr>
            <w:r w:rsidRPr="009E7BCE">
              <w:rPr>
                <w:rFonts w:asciiTheme="minorHAnsi" w:hAnsiTheme="minorHAnsi" w:cstheme="minorHAnsi"/>
              </w:rPr>
              <w:t>Of total final score</w:t>
            </w:r>
          </w:p>
        </w:tc>
      </w:tr>
      <w:tr w:rsidR="009E7BCE" w:rsidTr="009E7BCE">
        <w:tc>
          <w:tcPr>
            <w:tcW w:w="2223" w:type="dxa"/>
          </w:tcPr>
          <w:p w:rsidR="009E7BCE" w:rsidRPr="009E7BCE" w:rsidRDefault="009E7BCE" w:rsidP="009E7BCE">
            <w:pPr>
              <w:pStyle w:val="ListParagraph"/>
              <w:ind w:left="0"/>
              <w:rPr>
                <w:rFonts w:asciiTheme="minorHAnsi" w:hAnsiTheme="minorHAnsi" w:cstheme="minorHAnsi"/>
              </w:rPr>
            </w:pPr>
            <w:r w:rsidRPr="009E7BCE">
              <w:rPr>
                <w:rFonts w:asciiTheme="minorHAnsi" w:hAnsiTheme="minorHAnsi" w:cstheme="minorHAnsi"/>
              </w:rPr>
              <w:t>Staff</w:t>
            </w:r>
          </w:p>
        </w:tc>
        <w:tc>
          <w:tcPr>
            <w:tcW w:w="2410" w:type="dxa"/>
          </w:tcPr>
          <w:p w:rsidR="009E7BCE" w:rsidRPr="009E7BCE" w:rsidRDefault="009E7BCE" w:rsidP="009E7BCE">
            <w:pPr>
              <w:pStyle w:val="ListParagraph"/>
              <w:ind w:left="0"/>
              <w:rPr>
                <w:rFonts w:asciiTheme="minorHAnsi" w:hAnsiTheme="minorHAnsi" w:cstheme="minorHAnsi"/>
              </w:rPr>
            </w:pPr>
            <w:r w:rsidRPr="009E7BCE">
              <w:rPr>
                <w:rFonts w:asciiTheme="minorHAnsi" w:hAnsiTheme="minorHAnsi" w:cstheme="minorHAnsi"/>
              </w:rPr>
              <w:t>40%</w:t>
            </w:r>
          </w:p>
        </w:tc>
      </w:tr>
      <w:tr w:rsidR="009E7BCE" w:rsidTr="009E7BCE">
        <w:tc>
          <w:tcPr>
            <w:tcW w:w="2223" w:type="dxa"/>
          </w:tcPr>
          <w:p w:rsidR="009E7BCE" w:rsidRPr="009E7BCE" w:rsidRDefault="009E7BCE" w:rsidP="009E7BCE">
            <w:pPr>
              <w:pStyle w:val="ListParagraph"/>
              <w:ind w:left="0"/>
              <w:rPr>
                <w:rFonts w:asciiTheme="minorHAnsi" w:hAnsiTheme="minorHAnsi" w:cstheme="minorHAnsi"/>
              </w:rPr>
            </w:pPr>
            <w:r w:rsidRPr="009E7BCE">
              <w:rPr>
                <w:rFonts w:asciiTheme="minorHAnsi" w:hAnsiTheme="minorHAnsi" w:cstheme="minorHAnsi"/>
              </w:rPr>
              <w:t>Students</w:t>
            </w:r>
          </w:p>
        </w:tc>
        <w:tc>
          <w:tcPr>
            <w:tcW w:w="2410" w:type="dxa"/>
          </w:tcPr>
          <w:p w:rsidR="009E7BCE" w:rsidRPr="009E7BCE" w:rsidRDefault="009E7BCE" w:rsidP="009E7BCE">
            <w:pPr>
              <w:pStyle w:val="ListParagraph"/>
              <w:ind w:left="0"/>
              <w:rPr>
                <w:rFonts w:asciiTheme="minorHAnsi" w:hAnsiTheme="minorHAnsi" w:cstheme="minorHAnsi"/>
              </w:rPr>
            </w:pPr>
            <w:r w:rsidRPr="009E7BCE">
              <w:rPr>
                <w:rFonts w:asciiTheme="minorHAnsi" w:hAnsiTheme="minorHAnsi" w:cstheme="minorHAnsi"/>
              </w:rPr>
              <w:t>40%</w:t>
            </w:r>
          </w:p>
        </w:tc>
      </w:tr>
      <w:tr w:rsidR="009E7BCE" w:rsidTr="009E7BCE">
        <w:tc>
          <w:tcPr>
            <w:tcW w:w="2223" w:type="dxa"/>
          </w:tcPr>
          <w:p w:rsidR="009E7BCE" w:rsidRPr="009E7BCE" w:rsidRDefault="009E7BCE" w:rsidP="009E7BCE">
            <w:pPr>
              <w:pStyle w:val="ListParagraph"/>
              <w:ind w:left="0"/>
              <w:rPr>
                <w:rFonts w:asciiTheme="minorHAnsi" w:hAnsiTheme="minorHAnsi" w:cstheme="minorHAnsi"/>
              </w:rPr>
            </w:pPr>
            <w:r w:rsidRPr="009E7BCE">
              <w:rPr>
                <w:rFonts w:asciiTheme="minorHAnsi" w:hAnsiTheme="minorHAnsi" w:cstheme="minorHAnsi"/>
              </w:rPr>
              <w:t>Other</w:t>
            </w:r>
          </w:p>
        </w:tc>
        <w:tc>
          <w:tcPr>
            <w:tcW w:w="2410" w:type="dxa"/>
          </w:tcPr>
          <w:p w:rsidR="009E7BCE" w:rsidRPr="009E7BCE" w:rsidRDefault="009E7BCE" w:rsidP="009E7BCE">
            <w:pPr>
              <w:pStyle w:val="ListParagraph"/>
              <w:ind w:left="0"/>
              <w:rPr>
                <w:rFonts w:asciiTheme="minorHAnsi" w:hAnsiTheme="minorHAnsi" w:cstheme="minorHAnsi"/>
              </w:rPr>
            </w:pPr>
            <w:r w:rsidRPr="009E7BCE">
              <w:rPr>
                <w:rFonts w:asciiTheme="minorHAnsi" w:hAnsiTheme="minorHAnsi" w:cstheme="minorHAnsi"/>
              </w:rPr>
              <w:t>20%</w:t>
            </w:r>
          </w:p>
        </w:tc>
      </w:tr>
    </w:tbl>
    <w:p w:rsidR="009E7BCE" w:rsidRPr="009E7BCE" w:rsidRDefault="009E7BCE" w:rsidP="009E7BCE">
      <w:pPr>
        <w:pStyle w:val="ListParagraph"/>
        <w:rPr>
          <w:rFonts w:asciiTheme="minorHAnsi" w:hAnsiTheme="minorHAnsi" w:cstheme="minorHAnsi"/>
          <w:u w:val="single"/>
        </w:rPr>
      </w:pPr>
    </w:p>
    <w:p w:rsidR="007D1CA3" w:rsidRPr="007D1CA3" w:rsidRDefault="00F77C2F" w:rsidP="00F77C2F">
      <w:pPr>
        <w:pStyle w:val="ListParagraph"/>
        <w:rPr>
          <w:rFonts w:asciiTheme="minorHAnsi" w:hAnsiTheme="minorHAnsi" w:cstheme="minorHAnsi"/>
          <w:u w:val="single"/>
        </w:rPr>
      </w:pPr>
      <w:r>
        <w:rPr>
          <w:rFonts w:asciiTheme="minorHAnsi" w:hAnsiTheme="minorHAnsi" w:cstheme="minorHAnsi"/>
        </w:rPr>
        <w:t>Within each of these scores, t</w:t>
      </w:r>
      <w:r w:rsidR="007D1CA3">
        <w:rPr>
          <w:rFonts w:asciiTheme="minorHAnsi" w:hAnsiTheme="minorHAnsi" w:cstheme="minorHAnsi"/>
        </w:rPr>
        <w:t xml:space="preserve">he relative weighting of </w:t>
      </w:r>
      <w:r>
        <w:rPr>
          <w:rFonts w:asciiTheme="minorHAnsi" w:hAnsiTheme="minorHAnsi" w:cstheme="minorHAnsi"/>
        </w:rPr>
        <w:t>components will be</w:t>
      </w:r>
      <w:r w:rsidR="007D1CA3">
        <w:rPr>
          <w:rFonts w:asciiTheme="minorHAnsi" w:hAnsiTheme="minorHAnsi" w:cstheme="minorHAnsi"/>
        </w:rPr>
        <w:t xml:space="preserve"> as follows:</w:t>
      </w:r>
    </w:p>
    <w:p w:rsidR="007D1CA3" w:rsidRDefault="007D1CA3" w:rsidP="007D1CA3">
      <w:pPr>
        <w:ind w:left="360"/>
        <w:rPr>
          <w:rFonts w:asciiTheme="minorHAnsi" w:hAnsiTheme="minorHAnsi" w:cstheme="minorHAnsi"/>
        </w:rPr>
      </w:pPr>
    </w:p>
    <w:p w:rsidR="00B31232" w:rsidRPr="007D1CA3" w:rsidRDefault="007D1CA3" w:rsidP="007D1CA3">
      <w:pPr>
        <w:ind w:left="360"/>
        <w:rPr>
          <w:rFonts w:asciiTheme="minorHAnsi" w:hAnsiTheme="minorHAnsi" w:cstheme="minorHAnsi"/>
          <w:u w:val="single"/>
        </w:rPr>
      </w:pPr>
      <w:r>
        <w:rPr>
          <w:rFonts w:asciiTheme="minorHAnsi" w:hAnsiTheme="minorHAnsi" w:cstheme="minorHAnsi"/>
        </w:rPr>
        <w:t>a)</w:t>
      </w:r>
      <w:r>
        <w:rPr>
          <w:rFonts w:asciiTheme="minorHAnsi" w:hAnsiTheme="minorHAnsi" w:cstheme="minorHAnsi"/>
        </w:rPr>
        <w:tab/>
        <w:t xml:space="preserve">Within the staff score which will constitute 40% of the total score, the weightings shall be </w:t>
      </w:r>
    </w:p>
    <w:p w:rsidR="009C3AAF" w:rsidRPr="00BE007A" w:rsidRDefault="007D1CA3" w:rsidP="007F660B">
      <w:pPr>
        <w:pStyle w:val="ListParagraph"/>
        <w:numPr>
          <w:ilvl w:val="1"/>
          <w:numId w:val="6"/>
        </w:numPr>
        <w:rPr>
          <w:rFonts w:asciiTheme="minorHAnsi" w:hAnsiTheme="minorHAnsi" w:cstheme="minorHAnsi"/>
        </w:rPr>
      </w:pPr>
      <w:r>
        <w:rPr>
          <w:rFonts w:asciiTheme="minorHAnsi" w:hAnsiTheme="minorHAnsi" w:cstheme="minorHAnsi"/>
        </w:rPr>
        <w:t>No of post</w:t>
      </w:r>
      <w:r w:rsidR="00A33CED">
        <w:rPr>
          <w:rFonts w:asciiTheme="minorHAnsi" w:hAnsiTheme="minorHAnsi" w:cstheme="minorHAnsi"/>
        </w:rPr>
        <w:t xml:space="preserve">s (academic and </w:t>
      </w:r>
      <w:r>
        <w:rPr>
          <w:rFonts w:asciiTheme="minorHAnsi" w:hAnsiTheme="minorHAnsi" w:cstheme="minorHAnsi"/>
        </w:rPr>
        <w:t>support)</w:t>
      </w:r>
      <w:r w:rsidR="0096374F">
        <w:rPr>
          <w:rFonts w:asciiTheme="minorHAnsi" w:hAnsiTheme="minorHAnsi" w:cstheme="minorHAnsi"/>
        </w:rPr>
        <w:t>: 7</w:t>
      </w:r>
      <w:r w:rsidR="009C3AAF" w:rsidRPr="00BE007A">
        <w:rPr>
          <w:rFonts w:asciiTheme="minorHAnsi" w:hAnsiTheme="minorHAnsi" w:cstheme="minorHAnsi"/>
        </w:rPr>
        <w:t>0%</w:t>
      </w:r>
    </w:p>
    <w:p w:rsidR="009C3AAF" w:rsidRPr="00BE007A" w:rsidRDefault="0096374F" w:rsidP="007F660B">
      <w:pPr>
        <w:pStyle w:val="ListParagraph"/>
        <w:numPr>
          <w:ilvl w:val="1"/>
          <w:numId w:val="6"/>
        </w:numPr>
        <w:rPr>
          <w:rFonts w:asciiTheme="minorHAnsi" w:hAnsiTheme="minorHAnsi" w:cstheme="minorHAnsi"/>
        </w:rPr>
      </w:pPr>
      <w:r>
        <w:rPr>
          <w:rFonts w:asciiTheme="minorHAnsi" w:hAnsiTheme="minorHAnsi" w:cstheme="minorHAnsi"/>
        </w:rPr>
        <w:t>Temporary teaching funds:  3</w:t>
      </w:r>
      <w:r w:rsidR="009C3AAF" w:rsidRPr="00BE007A">
        <w:rPr>
          <w:rFonts w:asciiTheme="minorHAnsi" w:hAnsiTheme="minorHAnsi" w:cstheme="minorHAnsi"/>
        </w:rPr>
        <w:t>0%</w:t>
      </w:r>
    </w:p>
    <w:p w:rsidR="007D1CA3" w:rsidRDefault="007D1CA3" w:rsidP="007F660B">
      <w:pPr>
        <w:rPr>
          <w:rFonts w:asciiTheme="minorHAnsi" w:hAnsiTheme="minorHAnsi" w:cstheme="minorHAnsi"/>
        </w:rPr>
      </w:pPr>
    </w:p>
    <w:p w:rsidR="007D1CA3" w:rsidRDefault="007F660B" w:rsidP="007F660B">
      <w:pPr>
        <w:rPr>
          <w:rFonts w:asciiTheme="minorHAnsi" w:hAnsiTheme="minorHAnsi" w:cstheme="minorHAnsi"/>
        </w:rPr>
      </w:pPr>
      <w:r>
        <w:rPr>
          <w:rFonts w:asciiTheme="minorHAnsi" w:hAnsiTheme="minorHAnsi" w:cstheme="minorHAnsi"/>
        </w:rPr>
        <w:t xml:space="preserve">       b) </w:t>
      </w:r>
      <w:r w:rsidR="007D1CA3">
        <w:rPr>
          <w:rFonts w:asciiTheme="minorHAnsi" w:hAnsiTheme="minorHAnsi" w:cstheme="minorHAnsi"/>
        </w:rPr>
        <w:t xml:space="preserve">With the student score which will constitute </w:t>
      </w:r>
      <w:r w:rsidR="0096374F">
        <w:rPr>
          <w:rFonts w:asciiTheme="minorHAnsi" w:hAnsiTheme="minorHAnsi" w:cstheme="minorHAnsi"/>
        </w:rPr>
        <w:t>4</w:t>
      </w:r>
      <w:r w:rsidR="00B31232" w:rsidRPr="007F660B">
        <w:rPr>
          <w:rFonts w:asciiTheme="minorHAnsi" w:hAnsiTheme="minorHAnsi" w:cstheme="minorHAnsi"/>
        </w:rPr>
        <w:t>0%</w:t>
      </w:r>
      <w:r w:rsidR="007D1CA3">
        <w:rPr>
          <w:rFonts w:asciiTheme="minorHAnsi" w:hAnsiTheme="minorHAnsi" w:cstheme="minorHAnsi"/>
        </w:rPr>
        <w:t xml:space="preserve"> of the total score, the weightings shall be</w:t>
      </w:r>
    </w:p>
    <w:p w:rsidR="008E4238" w:rsidRPr="007D1CA3" w:rsidRDefault="008E4238" w:rsidP="007D1CA3">
      <w:pPr>
        <w:pStyle w:val="ListParagraph"/>
        <w:numPr>
          <w:ilvl w:val="0"/>
          <w:numId w:val="10"/>
        </w:numPr>
        <w:rPr>
          <w:rFonts w:asciiTheme="minorHAnsi" w:hAnsiTheme="minorHAnsi" w:cstheme="minorHAnsi"/>
        </w:rPr>
      </w:pPr>
      <w:r w:rsidRPr="007D1CA3">
        <w:rPr>
          <w:rFonts w:asciiTheme="minorHAnsi" w:hAnsiTheme="minorHAnsi" w:cstheme="minorHAnsi"/>
        </w:rPr>
        <w:t>Stud</w:t>
      </w:r>
      <w:r w:rsidR="0011486D">
        <w:rPr>
          <w:rFonts w:asciiTheme="minorHAnsi" w:hAnsiTheme="minorHAnsi" w:cstheme="minorHAnsi"/>
        </w:rPr>
        <w:t>ents (undergrad and Honours):  7</w:t>
      </w:r>
      <w:r w:rsidR="001B6575" w:rsidRPr="007D1CA3">
        <w:rPr>
          <w:rFonts w:asciiTheme="minorHAnsi" w:hAnsiTheme="minorHAnsi" w:cstheme="minorHAnsi"/>
        </w:rPr>
        <w:t>5</w:t>
      </w:r>
      <w:r w:rsidRPr="007D1CA3">
        <w:rPr>
          <w:rFonts w:asciiTheme="minorHAnsi" w:hAnsiTheme="minorHAnsi" w:cstheme="minorHAnsi"/>
        </w:rPr>
        <w:t>%</w:t>
      </w:r>
    </w:p>
    <w:p w:rsidR="004B22B6" w:rsidRDefault="00F25FE3" w:rsidP="0096374F">
      <w:pPr>
        <w:pStyle w:val="ListParagraph"/>
        <w:numPr>
          <w:ilvl w:val="1"/>
          <w:numId w:val="7"/>
        </w:numPr>
        <w:rPr>
          <w:rFonts w:asciiTheme="minorHAnsi" w:hAnsiTheme="minorHAnsi" w:cstheme="minorHAnsi"/>
        </w:rPr>
      </w:pPr>
      <w:r>
        <w:rPr>
          <w:rFonts w:asciiTheme="minorHAnsi" w:hAnsiTheme="minorHAnsi" w:cstheme="minorHAnsi"/>
        </w:rPr>
        <w:t xml:space="preserve"> </w:t>
      </w:r>
      <w:r w:rsidR="0011486D">
        <w:rPr>
          <w:rFonts w:asciiTheme="minorHAnsi" w:hAnsiTheme="minorHAnsi" w:cstheme="minorHAnsi"/>
        </w:rPr>
        <w:t>Students (post-grad): 25</w:t>
      </w:r>
      <w:r w:rsidR="008E4238" w:rsidRPr="00BE007A">
        <w:rPr>
          <w:rFonts w:asciiTheme="minorHAnsi" w:hAnsiTheme="minorHAnsi" w:cstheme="minorHAnsi"/>
        </w:rPr>
        <w:t>%</w:t>
      </w:r>
    </w:p>
    <w:p w:rsidR="007306A2" w:rsidRDefault="007306A2" w:rsidP="0096374F">
      <w:pPr>
        <w:pStyle w:val="ListParagraph"/>
        <w:numPr>
          <w:ilvl w:val="1"/>
          <w:numId w:val="7"/>
        </w:numPr>
        <w:rPr>
          <w:rFonts w:asciiTheme="minorHAnsi" w:hAnsiTheme="minorHAnsi" w:cstheme="minorHAnsi"/>
        </w:rPr>
      </w:pPr>
      <w:r>
        <w:rPr>
          <w:rFonts w:asciiTheme="minorHAnsi" w:hAnsiTheme="minorHAnsi" w:cstheme="minorHAnsi"/>
        </w:rPr>
        <w:t xml:space="preserve">Total divided by </w:t>
      </w:r>
    </w:p>
    <w:p w:rsidR="0011486D" w:rsidRDefault="0011486D" w:rsidP="0011486D">
      <w:pPr>
        <w:rPr>
          <w:rFonts w:asciiTheme="minorHAnsi" w:hAnsiTheme="minorHAnsi" w:cstheme="minorHAnsi"/>
        </w:rPr>
      </w:pPr>
    </w:p>
    <w:p w:rsidR="007306A2" w:rsidRDefault="007306A2" w:rsidP="0011486D">
      <w:pPr>
        <w:rPr>
          <w:rFonts w:asciiTheme="minorHAnsi" w:hAnsiTheme="minorHAnsi" w:cstheme="minorHAnsi"/>
        </w:rPr>
      </w:pPr>
    </w:p>
    <w:p w:rsidR="0011486D" w:rsidRPr="0011486D" w:rsidRDefault="0011486D" w:rsidP="0011486D">
      <w:pPr>
        <w:rPr>
          <w:rFonts w:asciiTheme="minorHAnsi" w:hAnsiTheme="minorHAnsi" w:cstheme="minorHAnsi"/>
        </w:rPr>
      </w:pPr>
      <w:r>
        <w:rPr>
          <w:rFonts w:asciiTheme="minorHAnsi" w:hAnsiTheme="minorHAnsi" w:cstheme="minorHAnsi"/>
        </w:rPr>
        <w:t xml:space="preserve">     c) With the other score which will constitute 20% of the total score, the weightings shall be</w:t>
      </w:r>
      <w:r>
        <w:rPr>
          <w:rFonts w:asciiTheme="minorHAnsi" w:hAnsiTheme="minorHAnsi" w:cstheme="minorHAnsi"/>
        </w:rPr>
        <w:tab/>
      </w:r>
    </w:p>
    <w:p w:rsidR="001B6575" w:rsidRPr="0011486D" w:rsidRDefault="00732AEC" w:rsidP="0011486D">
      <w:pPr>
        <w:pStyle w:val="ListParagraph"/>
        <w:numPr>
          <w:ilvl w:val="1"/>
          <w:numId w:val="7"/>
        </w:numPr>
        <w:rPr>
          <w:rFonts w:asciiTheme="minorHAnsi" w:hAnsiTheme="minorHAnsi" w:cstheme="minorHAnsi"/>
        </w:rPr>
      </w:pPr>
      <w:r>
        <w:rPr>
          <w:rFonts w:asciiTheme="minorHAnsi" w:hAnsiTheme="minorHAnsi" w:cstheme="minorHAnsi"/>
        </w:rPr>
        <w:t>Departmental costs</w:t>
      </w:r>
      <w:r w:rsidR="00554BA4">
        <w:rPr>
          <w:rFonts w:asciiTheme="minorHAnsi" w:hAnsiTheme="minorHAnsi" w:cstheme="minorHAnsi"/>
        </w:rPr>
        <w:t>/</w:t>
      </w:r>
      <w:r w:rsidR="0003142F">
        <w:rPr>
          <w:rFonts w:asciiTheme="minorHAnsi" w:hAnsiTheme="minorHAnsi" w:cstheme="minorHAnsi"/>
        </w:rPr>
        <w:t>R</w:t>
      </w:r>
      <w:r w:rsidR="00D7424A">
        <w:rPr>
          <w:rFonts w:asciiTheme="minorHAnsi" w:hAnsiTheme="minorHAnsi" w:cstheme="minorHAnsi"/>
        </w:rPr>
        <w:t>1000: 6</w:t>
      </w:r>
      <w:r w:rsidR="00554BA4">
        <w:rPr>
          <w:rFonts w:asciiTheme="minorHAnsi" w:hAnsiTheme="minorHAnsi" w:cstheme="minorHAnsi"/>
        </w:rPr>
        <w:t>0</w:t>
      </w:r>
      <w:r w:rsidR="001B6575" w:rsidRPr="0011486D">
        <w:rPr>
          <w:rFonts w:asciiTheme="minorHAnsi" w:hAnsiTheme="minorHAnsi" w:cstheme="minorHAnsi"/>
        </w:rPr>
        <w:t>%</w:t>
      </w:r>
    </w:p>
    <w:p w:rsidR="001B6575" w:rsidRPr="00BE007A" w:rsidRDefault="001B6575" w:rsidP="005C62BD">
      <w:pPr>
        <w:pStyle w:val="ListParagraph"/>
        <w:numPr>
          <w:ilvl w:val="1"/>
          <w:numId w:val="8"/>
        </w:numPr>
        <w:rPr>
          <w:rFonts w:asciiTheme="minorHAnsi" w:hAnsiTheme="minorHAnsi" w:cstheme="minorHAnsi"/>
        </w:rPr>
      </w:pPr>
      <w:r w:rsidRPr="00BE007A">
        <w:rPr>
          <w:rFonts w:asciiTheme="minorHAnsi" w:hAnsiTheme="minorHAnsi" w:cstheme="minorHAnsi"/>
        </w:rPr>
        <w:t xml:space="preserve">Departmental </w:t>
      </w:r>
      <w:r w:rsidR="00732AEC">
        <w:rPr>
          <w:rFonts w:asciiTheme="minorHAnsi" w:hAnsiTheme="minorHAnsi" w:cstheme="minorHAnsi"/>
        </w:rPr>
        <w:t>income</w:t>
      </w:r>
      <w:r w:rsidR="00554BA4">
        <w:rPr>
          <w:rFonts w:asciiTheme="minorHAnsi" w:hAnsiTheme="minorHAnsi" w:cstheme="minorHAnsi"/>
        </w:rPr>
        <w:t>/</w:t>
      </w:r>
      <w:r w:rsidR="0003142F">
        <w:rPr>
          <w:rFonts w:asciiTheme="minorHAnsi" w:hAnsiTheme="minorHAnsi" w:cstheme="minorHAnsi"/>
        </w:rPr>
        <w:t>R</w:t>
      </w:r>
      <w:r w:rsidR="00554BA4">
        <w:rPr>
          <w:rFonts w:asciiTheme="minorHAnsi" w:hAnsiTheme="minorHAnsi" w:cstheme="minorHAnsi"/>
        </w:rPr>
        <w:t>1000</w:t>
      </w:r>
      <w:r w:rsidR="0003142F">
        <w:rPr>
          <w:rFonts w:asciiTheme="minorHAnsi" w:hAnsiTheme="minorHAnsi" w:cstheme="minorHAnsi"/>
        </w:rPr>
        <w:t xml:space="preserve"> 000</w:t>
      </w:r>
      <w:r w:rsidR="00D7424A">
        <w:rPr>
          <w:rFonts w:asciiTheme="minorHAnsi" w:hAnsiTheme="minorHAnsi" w:cstheme="minorHAnsi"/>
        </w:rPr>
        <w:t>: 4</w:t>
      </w:r>
      <w:r w:rsidR="00554BA4">
        <w:rPr>
          <w:rFonts w:asciiTheme="minorHAnsi" w:hAnsiTheme="minorHAnsi" w:cstheme="minorHAnsi"/>
        </w:rPr>
        <w:t>0</w:t>
      </w:r>
      <w:r w:rsidRPr="00BE007A">
        <w:rPr>
          <w:rFonts w:asciiTheme="minorHAnsi" w:hAnsiTheme="minorHAnsi" w:cstheme="minorHAnsi"/>
        </w:rPr>
        <w:t>%.</w:t>
      </w:r>
    </w:p>
    <w:p w:rsidR="00163A56" w:rsidRDefault="00163A56" w:rsidP="00163A56">
      <w:pPr>
        <w:pStyle w:val="ListParagraph"/>
        <w:rPr>
          <w:rFonts w:asciiTheme="minorHAnsi" w:hAnsiTheme="minorHAnsi" w:cstheme="minorHAnsi"/>
        </w:rPr>
      </w:pPr>
    </w:p>
    <w:p w:rsidR="004552D8" w:rsidRDefault="004552D8" w:rsidP="00131576">
      <w:pPr>
        <w:pStyle w:val="ListParagraph"/>
        <w:ind w:left="0"/>
        <w:rPr>
          <w:rFonts w:asciiTheme="minorHAnsi" w:hAnsiTheme="minorHAnsi" w:cstheme="minorHAnsi"/>
        </w:rPr>
      </w:pPr>
      <w:r>
        <w:rPr>
          <w:rFonts w:asciiTheme="minorHAnsi" w:hAnsiTheme="minorHAnsi" w:cstheme="minorHAnsi"/>
        </w:rPr>
        <w:t>Summary:</w:t>
      </w:r>
    </w:p>
    <w:tbl>
      <w:tblPr>
        <w:tblStyle w:val="TableGrid"/>
        <w:tblW w:w="0" w:type="auto"/>
        <w:tblInd w:w="108" w:type="dxa"/>
        <w:tblLook w:val="04A0" w:firstRow="1" w:lastRow="0" w:firstColumn="1" w:lastColumn="0" w:noHBand="0" w:noVBand="1"/>
      </w:tblPr>
      <w:tblGrid>
        <w:gridCol w:w="1418"/>
        <w:gridCol w:w="1843"/>
        <w:gridCol w:w="1559"/>
        <w:gridCol w:w="2693"/>
        <w:gridCol w:w="425"/>
        <w:gridCol w:w="2970"/>
      </w:tblGrid>
      <w:tr w:rsidR="002B501D" w:rsidTr="00131576">
        <w:tc>
          <w:tcPr>
            <w:tcW w:w="1418" w:type="dxa"/>
          </w:tcPr>
          <w:p w:rsidR="002B501D" w:rsidRDefault="002B501D" w:rsidP="00163A56">
            <w:pPr>
              <w:pStyle w:val="ListParagraph"/>
              <w:ind w:left="0"/>
              <w:rPr>
                <w:rFonts w:asciiTheme="minorHAnsi" w:hAnsiTheme="minorHAnsi" w:cstheme="minorHAnsi"/>
              </w:rPr>
            </w:pPr>
            <w:r>
              <w:rPr>
                <w:rFonts w:asciiTheme="minorHAnsi" w:hAnsiTheme="minorHAnsi" w:cstheme="minorHAnsi"/>
              </w:rPr>
              <w:t>Scores</w:t>
            </w:r>
          </w:p>
        </w:tc>
        <w:tc>
          <w:tcPr>
            <w:tcW w:w="1843" w:type="dxa"/>
          </w:tcPr>
          <w:p w:rsidR="002B501D" w:rsidRDefault="002B501D" w:rsidP="00163A56">
            <w:pPr>
              <w:pStyle w:val="ListParagraph"/>
              <w:ind w:left="0"/>
              <w:rPr>
                <w:rFonts w:asciiTheme="minorHAnsi" w:hAnsiTheme="minorHAnsi" w:cstheme="minorHAnsi"/>
              </w:rPr>
            </w:pPr>
            <w:r>
              <w:rPr>
                <w:rFonts w:asciiTheme="minorHAnsi" w:hAnsiTheme="minorHAnsi" w:cstheme="minorHAnsi"/>
              </w:rPr>
              <w:t>Of total score</w:t>
            </w:r>
          </w:p>
        </w:tc>
        <w:tc>
          <w:tcPr>
            <w:tcW w:w="7647" w:type="dxa"/>
            <w:gridSpan w:val="4"/>
          </w:tcPr>
          <w:p w:rsidR="002B501D" w:rsidRDefault="002B501D" w:rsidP="00163A56">
            <w:pPr>
              <w:pStyle w:val="ListParagraph"/>
              <w:ind w:left="0"/>
              <w:rPr>
                <w:rFonts w:asciiTheme="minorHAnsi" w:hAnsiTheme="minorHAnsi" w:cstheme="minorHAnsi"/>
              </w:rPr>
            </w:pPr>
            <w:r>
              <w:rPr>
                <w:rFonts w:asciiTheme="minorHAnsi" w:hAnsiTheme="minorHAnsi" w:cstheme="minorHAnsi"/>
              </w:rPr>
              <w:t>Different weightings with the various scores</w:t>
            </w:r>
          </w:p>
        </w:tc>
      </w:tr>
      <w:tr w:rsidR="004552D8" w:rsidTr="00786D2D">
        <w:tc>
          <w:tcPr>
            <w:tcW w:w="1418" w:type="dxa"/>
          </w:tcPr>
          <w:p w:rsidR="004552D8" w:rsidRDefault="004552D8" w:rsidP="00163A56">
            <w:pPr>
              <w:pStyle w:val="ListParagraph"/>
              <w:ind w:left="0"/>
              <w:rPr>
                <w:rFonts w:asciiTheme="minorHAnsi" w:hAnsiTheme="minorHAnsi" w:cstheme="minorHAnsi"/>
              </w:rPr>
            </w:pPr>
            <w:r>
              <w:rPr>
                <w:rFonts w:asciiTheme="minorHAnsi" w:hAnsiTheme="minorHAnsi" w:cstheme="minorHAnsi"/>
              </w:rPr>
              <w:t>Staff</w:t>
            </w:r>
          </w:p>
        </w:tc>
        <w:tc>
          <w:tcPr>
            <w:tcW w:w="1843" w:type="dxa"/>
          </w:tcPr>
          <w:p w:rsidR="004552D8" w:rsidRDefault="004552D8" w:rsidP="00163A56">
            <w:pPr>
              <w:pStyle w:val="ListParagraph"/>
              <w:ind w:left="0"/>
              <w:rPr>
                <w:rFonts w:asciiTheme="minorHAnsi" w:hAnsiTheme="minorHAnsi" w:cstheme="minorHAnsi"/>
              </w:rPr>
            </w:pPr>
            <w:r>
              <w:rPr>
                <w:rFonts w:asciiTheme="minorHAnsi" w:hAnsiTheme="minorHAnsi" w:cstheme="minorHAnsi"/>
              </w:rPr>
              <w:t>40%</w:t>
            </w:r>
          </w:p>
        </w:tc>
        <w:tc>
          <w:tcPr>
            <w:tcW w:w="1559" w:type="dxa"/>
          </w:tcPr>
          <w:p w:rsidR="004552D8" w:rsidRDefault="004552D8" w:rsidP="00163A56">
            <w:pPr>
              <w:pStyle w:val="ListParagraph"/>
              <w:ind w:left="0"/>
              <w:rPr>
                <w:rFonts w:asciiTheme="minorHAnsi" w:hAnsiTheme="minorHAnsi" w:cstheme="minorHAnsi"/>
              </w:rPr>
            </w:pPr>
            <w:r>
              <w:rPr>
                <w:rFonts w:asciiTheme="minorHAnsi" w:hAnsiTheme="minorHAnsi" w:cstheme="minorHAnsi"/>
              </w:rPr>
              <w:t>Made up of</w:t>
            </w:r>
          </w:p>
        </w:tc>
        <w:tc>
          <w:tcPr>
            <w:tcW w:w="3118" w:type="dxa"/>
            <w:gridSpan w:val="2"/>
          </w:tcPr>
          <w:p w:rsidR="004552D8" w:rsidRDefault="004552D8" w:rsidP="00A33CED">
            <w:pPr>
              <w:pStyle w:val="ListParagraph"/>
              <w:ind w:left="0"/>
              <w:rPr>
                <w:rFonts w:asciiTheme="minorHAnsi" w:hAnsiTheme="minorHAnsi" w:cstheme="minorHAnsi"/>
              </w:rPr>
            </w:pPr>
            <w:r>
              <w:rPr>
                <w:rFonts w:asciiTheme="minorHAnsi" w:hAnsiTheme="minorHAnsi" w:cstheme="minorHAnsi"/>
              </w:rPr>
              <w:t>Academic, support: 70%</w:t>
            </w:r>
          </w:p>
        </w:tc>
        <w:tc>
          <w:tcPr>
            <w:tcW w:w="2970" w:type="dxa"/>
          </w:tcPr>
          <w:p w:rsidR="004552D8" w:rsidRDefault="004552D8" w:rsidP="00163A56">
            <w:pPr>
              <w:pStyle w:val="ListParagraph"/>
              <w:ind w:left="0"/>
              <w:rPr>
                <w:rFonts w:asciiTheme="minorHAnsi" w:hAnsiTheme="minorHAnsi" w:cstheme="minorHAnsi"/>
              </w:rPr>
            </w:pPr>
            <w:r>
              <w:rPr>
                <w:rFonts w:asciiTheme="minorHAnsi" w:hAnsiTheme="minorHAnsi" w:cstheme="minorHAnsi"/>
              </w:rPr>
              <w:t>Temporary teaching: 30%</w:t>
            </w:r>
          </w:p>
        </w:tc>
      </w:tr>
      <w:tr w:rsidR="002B501D" w:rsidTr="00131576">
        <w:tc>
          <w:tcPr>
            <w:tcW w:w="1418" w:type="dxa"/>
          </w:tcPr>
          <w:p w:rsidR="002B501D" w:rsidRDefault="002B501D" w:rsidP="00163A56">
            <w:pPr>
              <w:pStyle w:val="ListParagraph"/>
              <w:ind w:left="0"/>
              <w:rPr>
                <w:rFonts w:asciiTheme="minorHAnsi" w:hAnsiTheme="minorHAnsi" w:cstheme="minorHAnsi"/>
              </w:rPr>
            </w:pPr>
            <w:r>
              <w:rPr>
                <w:rFonts w:asciiTheme="minorHAnsi" w:hAnsiTheme="minorHAnsi" w:cstheme="minorHAnsi"/>
              </w:rPr>
              <w:t>Students</w:t>
            </w:r>
          </w:p>
        </w:tc>
        <w:tc>
          <w:tcPr>
            <w:tcW w:w="1843" w:type="dxa"/>
          </w:tcPr>
          <w:p w:rsidR="002B501D" w:rsidRDefault="002B501D" w:rsidP="00163A56">
            <w:pPr>
              <w:pStyle w:val="ListParagraph"/>
              <w:ind w:left="0"/>
              <w:rPr>
                <w:rFonts w:asciiTheme="minorHAnsi" w:hAnsiTheme="minorHAnsi" w:cstheme="minorHAnsi"/>
              </w:rPr>
            </w:pPr>
            <w:r>
              <w:rPr>
                <w:rFonts w:asciiTheme="minorHAnsi" w:hAnsiTheme="minorHAnsi" w:cstheme="minorHAnsi"/>
              </w:rPr>
              <w:t>40%</w:t>
            </w:r>
          </w:p>
        </w:tc>
        <w:tc>
          <w:tcPr>
            <w:tcW w:w="1559" w:type="dxa"/>
          </w:tcPr>
          <w:p w:rsidR="002B501D" w:rsidRDefault="002B501D" w:rsidP="00163A56">
            <w:pPr>
              <w:pStyle w:val="ListParagraph"/>
              <w:ind w:left="0"/>
              <w:rPr>
                <w:rFonts w:asciiTheme="minorHAnsi" w:hAnsiTheme="minorHAnsi" w:cstheme="minorHAnsi"/>
              </w:rPr>
            </w:pPr>
            <w:r>
              <w:rPr>
                <w:rFonts w:asciiTheme="minorHAnsi" w:hAnsiTheme="minorHAnsi" w:cstheme="minorHAnsi"/>
              </w:rPr>
              <w:t>Made up of</w:t>
            </w:r>
          </w:p>
        </w:tc>
        <w:tc>
          <w:tcPr>
            <w:tcW w:w="2693" w:type="dxa"/>
          </w:tcPr>
          <w:p w:rsidR="002B501D" w:rsidRDefault="006368CB" w:rsidP="00420335">
            <w:pPr>
              <w:pStyle w:val="ListParagraph"/>
              <w:ind w:left="0"/>
              <w:rPr>
                <w:rFonts w:asciiTheme="minorHAnsi" w:hAnsiTheme="minorHAnsi" w:cstheme="minorHAnsi"/>
              </w:rPr>
            </w:pPr>
            <w:r>
              <w:rPr>
                <w:rFonts w:asciiTheme="minorHAnsi" w:hAnsiTheme="minorHAnsi" w:cstheme="minorHAnsi"/>
              </w:rPr>
              <w:t>Undergrad FTES: 75</w:t>
            </w:r>
            <w:r w:rsidR="002B501D">
              <w:rPr>
                <w:rFonts w:asciiTheme="minorHAnsi" w:hAnsiTheme="minorHAnsi" w:cstheme="minorHAnsi"/>
              </w:rPr>
              <w:t>%</w:t>
            </w:r>
          </w:p>
        </w:tc>
        <w:tc>
          <w:tcPr>
            <w:tcW w:w="3395" w:type="dxa"/>
            <w:gridSpan w:val="2"/>
          </w:tcPr>
          <w:p w:rsidR="002B501D" w:rsidRDefault="006368CB" w:rsidP="00420335">
            <w:pPr>
              <w:pStyle w:val="ListParagraph"/>
              <w:ind w:left="0"/>
              <w:rPr>
                <w:rFonts w:asciiTheme="minorHAnsi" w:hAnsiTheme="minorHAnsi" w:cstheme="minorHAnsi"/>
              </w:rPr>
            </w:pPr>
            <w:r>
              <w:rPr>
                <w:rFonts w:asciiTheme="minorHAnsi" w:hAnsiTheme="minorHAnsi" w:cstheme="minorHAnsi"/>
              </w:rPr>
              <w:t>Post-grade FTES: 25</w:t>
            </w:r>
            <w:r w:rsidR="002B501D">
              <w:rPr>
                <w:rFonts w:asciiTheme="minorHAnsi" w:hAnsiTheme="minorHAnsi" w:cstheme="minorHAnsi"/>
              </w:rPr>
              <w:t>%</w:t>
            </w:r>
          </w:p>
        </w:tc>
      </w:tr>
      <w:tr w:rsidR="00786D2D" w:rsidTr="00786D2D">
        <w:tc>
          <w:tcPr>
            <w:tcW w:w="1418" w:type="dxa"/>
          </w:tcPr>
          <w:p w:rsidR="00786D2D" w:rsidRDefault="00786D2D" w:rsidP="00163A56">
            <w:pPr>
              <w:pStyle w:val="ListParagraph"/>
              <w:ind w:left="0"/>
              <w:rPr>
                <w:rFonts w:asciiTheme="minorHAnsi" w:hAnsiTheme="minorHAnsi" w:cstheme="minorHAnsi"/>
              </w:rPr>
            </w:pPr>
            <w:r>
              <w:rPr>
                <w:rFonts w:asciiTheme="minorHAnsi" w:hAnsiTheme="minorHAnsi" w:cstheme="minorHAnsi"/>
              </w:rPr>
              <w:t>Other</w:t>
            </w:r>
          </w:p>
        </w:tc>
        <w:tc>
          <w:tcPr>
            <w:tcW w:w="1843" w:type="dxa"/>
          </w:tcPr>
          <w:p w:rsidR="00786D2D" w:rsidRDefault="00786D2D" w:rsidP="00163A56">
            <w:pPr>
              <w:pStyle w:val="ListParagraph"/>
              <w:ind w:left="0"/>
              <w:rPr>
                <w:rFonts w:asciiTheme="minorHAnsi" w:hAnsiTheme="minorHAnsi" w:cstheme="minorHAnsi"/>
              </w:rPr>
            </w:pPr>
            <w:r>
              <w:rPr>
                <w:rFonts w:asciiTheme="minorHAnsi" w:hAnsiTheme="minorHAnsi" w:cstheme="minorHAnsi"/>
              </w:rPr>
              <w:t>20%</w:t>
            </w:r>
          </w:p>
        </w:tc>
        <w:tc>
          <w:tcPr>
            <w:tcW w:w="1559" w:type="dxa"/>
          </w:tcPr>
          <w:p w:rsidR="00786D2D" w:rsidRDefault="00786D2D" w:rsidP="00163A56">
            <w:pPr>
              <w:pStyle w:val="ListParagraph"/>
              <w:ind w:left="0"/>
              <w:rPr>
                <w:rFonts w:asciiTheme="minorHAnsi" w:hAnsiTheme="minorHAnsi" w:cstheme="minorHAnsi"/>
              </w:rPr>
            </w:pPr>
            <w:r>
              <w:rPr>
                <w:rFonts w:asciiTheme="minorHAnsi" w:hAnsiTheme="minorHAnsi" w:cstheme="minorHAnsi"/>
              </w:rPr>
              <w:t>Made up of</w:t>
            </w:r>
          </w:p>
        </w:tc>
        <w:tc>
          <w:tcPr>
            <w:tcW w:w="3118" w:type="dxa"/>
            <w:gridSpan w:val="2"/>
          </w:tcPr>
          <w:p w:rsidR="00786D2D" w:rsidRDefault="00786D2D" w:rsidP="00163A56">
            <w:pPr>
              <w:pStyle w:val="ListParagraph"/>
              <w:ind w:left="0"/>
              <w:rPr>
                <w:rFonts w:asciiTheme="minorHAnsi" w:hAnsiTheme="minorHAnsi" w:cstheme="minorHAnsi"/>
              </w:rPr>
            </w:pPr>
            <w:r>
              <w:rPr>
                <w:rFonts w:asciiTheme="minorHAnsi" w:hAnsiTheme="minorHAnsi" w:cstheme="minorHAnsi"/>
              </w:rPr>
              <w:t>Departmental costs: 60%</w:t>
            </w:r>
          </w:p>
        </w:tc>
        <w:tc>
          <w:tcPr>
            <w:tcW w:w="2970" w:type="dxa"/>
          </w:tcPr>
          <w:p w:rsidR="00786D2D" w:rsidRDefault="00786D2D" w:rsidP="00163A56">
            <w:pPr>
              <w:pStyle w:val="ListParagraph"/>
              <w:ind w:left="0"/>
              <w:rPr>
                <w:rFonts w:asciiTheme="minorHAnsi" w:hAnsiTheme="minorHAnsi" w:cstheme="minorHAnsi"/>
              </w:rPr>
            </w:pPr>
            <w:r>
              <w:rPr>
                <w:rFonts w:asciiTheme="minorHAnsi" w:hAnsiTheme="minorHAnsi" w:cstheme="minorHAnsi"/>
              </w:rPr>
              <w:t>Departmental income: 40%</w:t>
            </w:r>
          </w:p>
        </w:tc>
      </w:tr>
    </w:tbl>
    <w:p w:rsidR="004552D8" w:rsidRDefault="004552D8" w:rsidP="00163A56">
      <w:pPr>
        <w:pStyle w:val="ListParagraph"/>
        <w:rPr>
          <w:rFonts w:asciiTheme="minorHAnsi" w:hAnsiTheme="minorHAnsi" w:cstheme="minorHAnsi"/>
        </w:rPr>
      </w:pPr>
    </w:p>
    <w:p w:rsidR="00786D2D" w:rsidRDefault="0023381A" w:rsidP="00163A56">
      <w:pPr>
        <w:pStyle w:val="ListParagraph"/>
        <w:rPr>
          <w:rFonts w:asciiTheme="minorHAnsi" w:hAnsiTheme="minorHAnsi" w:cstheme="minorHAnsi"/>
        </w:rPr>
      </w:pPr>
      <w:r>
        <w:rPr>
          <w:rFonts w:asciiTheme="minorHAnsi" w:hAnsiTheme="minorHAnsi" w:cstheme="minorHAnsi"/>
        </w:rPr>
        <w:t xml:space="preserve">On the </w:t>
      </w:r>
      <w:r w:rsidR="00BF29DA">
        <w:rPr>
          <w:rFonts w:asciiTheme="minorHAnsi" w:hAnsiTheme="minorHAnsi" w:cstheme="minorHAnsi"/>
        </w:rPr>
        <w:t>basis of these scores (added together), a final score reflecting the complexity of the department is achieved.</w:t>
      </w:r>
    </w:p>
    <w:p w:rsidR="007306A2" w:rsidRDefault="007306A2" w:rsidP="007306A2">
      <w:pPr>
        <w:pStyle w:val="ListParagraph"/>
        <w:rPr>
          <w:rFonts w:asciiTheme="minorHAnsi" w:hAnsiTheme="minorHAnsi" w:cstheme="minorHAnsi"/>
        </w:rPr>
      </w:pPr>
    </w:p>
    <w:p w:rsidR="00C947ED" w:rsidRDefault="00605C1F" w:rsidP="00C947ED">
      <w:pPr>
        <w:pStyle w:val="ListParagraph"/>
        <w:numPr>
          <w:ilvl w:val="0"/>
          <w:numId w:val="1"/>
        </w:numPr>
        <w:rPr>
          <w:rFonts w:asciiTheme="minorHAnsi" w:hAnsiTheme="minorHAnsi" w:cstheme="minorHAnsi"/>
        </w:rPr>
      </w:pPr>
      <w:r>
        <w:rPr>
          <w:rFonts w:asciiTheme="minorHAnsi" w:hAnsiTheme="minorHAnsi" w:cstheme="minorHAnsi"/>
        </w:rPr>
        <w:t>T</w:t>
      </w:r>
      <w:r w:rsidR="00CE6539" w:rsidRPr="00BE007A">
        <w:rPr>
          <w:rFonts w:asciiTheme="minorHAnsi" w:hAnsiTheme="minorHAnsi" w:cstheme="minorHAnsi"/>
        </w:rPr>
        <w:t xml:space="preserve">he </w:t>
      </w:r>
      <w:r w:rsidR="008A17DD">
        <w:rPr>
          <w:rFonts w:asciiTheme="minorHAnsi" w:hAnsiTheme="minorHAnsi" w:cstheme="minorHAnsi"/>
        </w:rPr>
        <w:t xml:space="preserve">relevant </w:t>
      </w:r>
      <w:r w:rsidR="00CE6539" w:rsidRPr="00BE007A">
        <w:rPr>
          <w:rFonts w:asciiTheme="minorHAnsi" w:hAnsiTheme="minorHAnsi" w:cstheme="minorHAnsi"/>
        </w:rPr>
        <w:t>data for each department shall be collected fro</w:t>
      </w:r>
      <w:r w:rsidR="00101895">
        <w:rPr>
          <w:rFonts w:asciiTheme="minorHAnsi" w:hAnsiTheme="minorHAnsi" w:cstheme="minorHAnsi"/>
        </w:rPr>
        <w:t>m the Data Management Unit, Finance and HR Divisions.</w:t>
      </w:r>
      <w:r w:rsidR="002A0CC7">
        <w:rPr>
          <w:rFonts w:asciiTheme="minorHAnsi" w:hAnsiTheme="minorHAnsi" w:cstheme="minorHAnsi"/>
        </w:rPr>
        <w:t xml:space="preserve"> The latest Stats Digest </w:t>
      </w:r>
      <w:r w:rsidR="00CE6539" w:rsidRPr="00BE007A">
        <w:rPr>
          <w:rFonts w:asciiTheme="minorHAnsi" w:hAnsiTheme="minorHAnsi" w:cstheme="minorHAnsi"/>
        </w:rPr>
        <w:t xml:space="preserve">data </w:t>
      </w:r>
      <w:r w:rsidR="002A0CC7">
        <w:rPr>
          <w:rFonts w:asciiTheme="minorHAnsi" w:hAnsiTheme="minorHAnsi" w:cstheme="minorHAnsi"/>
        </w:rPr>
        <w:t>available will be used e.g. 2012</w:t>
      </w:r>
      <w:r w:rsidR="00CE6539" w:rsidRPr="00BE007A">
        <w:rPr>
          <w:rFonts w:asciiTheme="minorHAnsi" w:hAnsiTheme="minorHAnsi" w:cstheme="minorHAnsi"/>
        </w:rPr>
        <w:t xml:space="preserve"> data will </w:t>
      </w:r>
      <w:r w:rsidR="002A0CC7">
        <w:rPr>
          <w:rFonts w:asciiTheme="minorHAnsi" w:hAnsiTheme="minorHAnsi" w:cstheme="minorHAnsi"/>
        </w:rPr>
        <w:t>be used for determining the 2014</w:t>
      </w:r>
      <w:r w:rsidR="00101895">
        <w:rPr>
          <w:rFonts w:asciiTheme="minorHAnsi" w:hAnsiTheme="minorHAnsi" w:cstheme="minorHAnsi"/>
        </w:rPr>
        <w:t xml:space="preserve"> allowance; t</w:t>
      </w:r>
      <w:r w:rsidR="008A17DD">
        <w:rPr>
          <w:rFonts w:asciiTheme="minorHAnsi" w:hAnsiTheme="minorHAnsi" w:cstheme="minorHAnsi"/>
        </w:rPr>
        <w:t>he HR data for the previous year, i.e. 2013 data for 2014 allowance</w:t>
      </w:r>
      <w:r w:rsidR="00101895">
        <w:rPr>
          <w:rFonts w:asciiTheme="minorHAnsi" w:hAnsiTheme="minorHAnsi" w:cstheme="minorHAnsi"/>
        </w:rPr>
        <w:t xml:space="preserve"> and in the case of the Departmental income, the last three years i.e. 2011,2012 and 2013 for the 2014 allowance</w:t>
      </w:r>
      <w:r w:rsidR="008A17DD">
        <w:rPr>
          <w:rFonts w:asciiTheme="minorHAnsi" w:hAnsiTheme="minorHAnsi" w:cstheme="minorHAnsi"/>
        </w:rPr>
        <w:t xml:space="preserve">. </w:t>
      </w:r>
      <w:r w:rsidR="00653453" w:rsidRPr="00BE007A">
        <w:rPr>
          <w:rFonts w:asciiTheme="minorHAnsi" w:hAnsiTheme="minorHAnsi" w:cstheme="minorHAnsi"/>
        </w:rPr>
        <w:t xml:space="preserve">Using this data, </w:t>
      </w:r>
      <w:r w:rsidR="008A17DD">
        <w:rPr>
          <w:rFonts w:asciiTheme="minorHAnsi" w:hAnsiTheme="minorHAnsi" w:cstheme="minorHAnsi"/>
        </w:rPr>
        <w:t xml:space="preserve">with all the weightings, </w:t>
      </w:r>
      <w:r w:rsidR="00653453" w:rsidRPr="00BE007A">
        <w:rPr>
          <w:rFonts w:asciiTheme="minorHAnsi" w:hAnsiTheme="minorHAnsi" w:cstheme="minorHAnsi"/>
        </w:rPr>
        <w:t>a score will be calculated for each department which shall reflect its complexity</w:t>
      </w:r>
      <w:r w:rsidR="00CE6539" w:rsidRPr="00BE007A">
        <w:rPr>
          <w:rFonts w:asciiTheme="minorHAnsi" w:hAnsiTheme="minorHAnsi" w:cstheme="minorHAnsi"/>
        </w:rPr>
        <w:t>;</w:t>
      </w:r>
    </w:p>
    <w:p w:rsidR="00B92F78" w:rsidRPr="00BE007A" w:rsidRDefault="00B92F78" w:rsidP="00B92F78">
      <w:pPr>
        <w:pStyle w:val="ListParagraph"/>
        <w:rPr>
          <w:rFonts w:asciiTheme="minorHAnsi" w:hAnsiTheme="minorHAnsi" w:cstheme="minorHAnsi"/>
        </w:rPr>
      </w:pPr>
    </w:p>
    <w:p w:rsidR="00BF29DA" w:rsidRDefault="00653453" w:rsidP="0023381A">
      <w:pPr>
        <w:pStyle w:val="ListParagraph"/>
        <w:numPr>
          <w:ilvl w:val="0"/>
          <w:numId w:val="1"/>
        </w:numPr>
        <w:rPr>
          <w:rFonts w:asciiTheme="minorHAnsi" w:hAnsiTheme="minorHAnsi" w:cstheme="minorHAnsi"/>
        </w:rPr>
      </w:pPr>
      <w:r w:rsidRPr="0023381A">
        <w:rPr>
          <w:rFonts w:asciiTheme="minorHAnsi" w:hAnsiTheme="minorHAnsi" w:cstheme="minorHAnsi"/>
        </w:rPr>
        <w:t>In determining the specific HoD allowance</w:t>
      </w:r>
      <w:r w:rsidR="00424C22" w:rsidRPr="0023381A">
        <w:rPr>
          <w:rFonts w:asciiTheme="minorHAnsi" w:hAnsiTheme="minorHAnsi" w:cstheme="minorHAnsi"/>
        </w:rPr>
        <w:t xml:space="preserve"> allocation per department</w:t>
      </w:r>
      <w:r w:rsidR="00424C22" w:rsidRPr="00BE007A">
        <w:rPr>
          <w:rStyle w:val="FootnoteReference"/>
          <w:rFonts w:asciiTheme="minorHAnsi" w:hAnsiTheme="minorHAnsi" w:cstheme="minorHAnsi"/>
        </w:rPr>
        <w:footnoteReference w:id="3"/>
      </w:r>
      <w:r w:rsidRPr="0023381A">
        <w:rPr>
          <w:rFonts w:asciiTheme="minorHAnsi" w:hAnsiTheme="minorHAnsi" w:cstheme="minorHAnsi"/>
        </w:rPr>
        <w:t xml:space="preserve">, </w:t>
      </w:r>
      <w:r w:rsidR="0023381A">
        <w:rPr>
          <w:rFonts w:asciiTheme="minorHAnsi" w:hAnsiTheme="minorHAnsi" w:cstheme="minorHAnsi"/>
        </w:rPr>
        <w:t>t</w:t>
      </w:r>
      <w:r w:rsidR="00BF29DA" w:rsidRPr="0023381A">
        <w:rPr>
          <w:rFonts w:asciiTheme="minorHAnsi" w:hAnsiTheme="minorHAnsi" w:cstheme="minorHAnsi"/>
        </w:rPr>
        <w:t>here shall be ranges of complexity scores with relevant remuneration linked to these. For example, departments with a complexity score of less than</w:t>
      </w:r>
      <w:r w:rsidR="0023381A" w:rsidRPr="0023381A">
        <w:rPr>
          <w:rFonts w:asciiTheme="minorHAnsi" w:hAnsiTheme="minorHAnsi" w:cstheme="minorHAnsi"/>
        </w:rPr>
        <w:t xml:space="preserve"> 10 shall receive an allowance </w:t>
      </w:r>
      <w:r w:rsidR="00BF29DA" w:rsidRPr="0023381A">
        <w:rPr>
          <w:rFonts w:asciiTheme="minorHAnsi" w:hAnsiTheme="minorHAnsi" w:cstheme="minorHAnsi"/>
        </w:rPr>
        <w:t>of R55 000 while departments with a c</w:t>
      </w:r>
      <w:r w:rsidR="00F10365">
        <w:rPr>
          <w:rFonts w:asciiTheme="minorHAnsi" w:hAnsiTheme="minorHAnsi" w:cstheme="minorHAnsi"/>
        </w:rPr>
        <w:t>omplexity score of more than 16 but less than 18</w:t>
      </w:r>
      <w:r w:rsidR="00BF29DA" w:rsidRPr="0023381A">
        <w:rPr>
          <w:rFonts w:asciiTheme="minorHAnsi" w:hAnsiTheme="minorHAnsi" w:cstheme="minorHAnsi"/>
        </w:rPr>
        <w:t xml:space="preserve"> shall receive an allowance of R</w:t>
      </w:r>
      <w:r w:rsidR="0023381A" w:rsidRPr="0023381A">
        <w:rPr>
          <w:rFonts w:asciiTheme="minorHAnsi" w:hAnsiTheme="minorHAnsi" w:cstheme="minorHAnsi"/>
        </w:rPr>
        <w:t>135 000</w:t>
      </w:r>
      <w:r w:rsidR="00BF29DA" w:rsidRPr="0023381A">
        <w:rPr>
          <w:rFonts w:asciiTheme="minorHAnsi" w:hAnsiTheme="minorHAnsi" w:cstheme="minorHAnsi"/>
        </w:rPr>
        <w:t>.</w:t>
      </w:r>
    </w:p>
    <w:p w:rsidR="00344DF3" w:rsidRPr="00344DF3" w:rsidRDefault="00344DF3" w:rsidP="00344DF3">
      <w:pPr>
        <w:pStyle w:val="ListParagraph"/>
        <w:rPr>
          <w:rFonts w:asciiTheme="minorHAnsi" w:hAnsiTheme="minorHAnsi" w:cstheme="minorHAnsi"/>
        </w:rPr>
      </w:pPr>
    </w:p>
    <w:p w:rsidR="00344DF3" w:rsidRPr="00450F7A" w:rsidRDefault="00344DF3" w:rsidP="0023381A">
      <w:pPr>
        <w:pStyle w:val="ListParagraph"/>
        <w:numPr>
          <w:ilvl w:val="0"/>
          <w:numId w:val="1"/>
        </w:numPr>
        <w:rPr>
          <w:rFonts w:asciiTheme="minorHAnsi" w:hAnsiTheme="minorHAnsi" w:cstheme="minorHAnsi"/>
        </w:rPr>
      </w:pPr>
      <w:r w:rsidRPr="00450F7A">
        <w:rPr>
          <w:rFonts w:asciiTheme="minorHAnsi" w:hAnsiTheme="minorHAnsi" w:cstheme="minorHAnsi"/>
        </w:rPr>
        <w:t xml:space="preserve">In determining the revised allowance values each year for new or renewed HOD contracts, the </w:t>
      </w:r>
      <w:r w:rsidR="00450F7A" w:rsidRPr="00450F7A">
        <w:rPr>
          <w:rFonts w:asciiTheme="minorHAnsi" w:hAnsiTheme="minorHAnsi" w:cstheme="minorHAnsi"/>
        </w:rPr>
        <w:t>designation of</w:t>
      </w:r>
      <w:r w:rsidRPr="00450F7A">
        <w:rPr>
          <w:rFonts w:asciiTheme="minorHAnsi" w:hAnsiTheme="minorHAnsi" w:cstheme="minorHAnsi"/>
        </w:rPr>
        <w:t xml:space="preserve"> categor</w:t>
      </w:r>
      <w:r w:rsidR="00450F7A" w:rsidRPr="00450F7A">
        <w:rPr>
          <w:rFonts w:asciiTheme="minorHAnsi" w:hAnsiTheme="minorHAnsi" w:cstheme="minorHAnsi"/>
        </w:rPr>
        <w:t>ies</w:t>
      </w:r>
      <w:r w:rsidRPr="00450F7A">
        <w:rPr>
          <w:rFonts w:asciiTheme="minorHAnsi" w:hAnsiTheme="minorHAnsi" w:cstheme="minorHAnsi"/>
        </w:rPr>
        <w:t xml:space="preserve"> shall be adjusted as follows: The </w:t>
      </w:r>
      <w:r w:rsidR="00450F7A" w:rsidRPr="00450F7A">
        <w:rPr>
          <w:rFonts w:asciiTheme="minorHAnsi" w:hAnsiTheme="minorHAnsi" w:cstheme="minorHAnsi"/>
        </w:rPr>
        <w:t xml:space="preserve">average </w:t>
      </w:r>
      <w:r w:rsidR="00222DFD">
        <w:rPr>
          <w:rFonts w:asciiTheme="minorHAnsi" w:hAnsiTheme="minorHAnsi" w:cstheme="minorHAnsi"/>
        </w:rPr>
        <w:t xml:space="preserve">percentage </w:t>
      </w:r>
      <w:r w:rsidR="00450F7A" w:rsidRPr="00450F7A">
        <w:rPr>
          <w:rFonts w:asciiTheme="minorHAnsi" w:hAnsiTheme="minorHAnsi" w:cstheme="minorHAnsi"/>
        </w:rPr>
        <w:t xml:space="preserve">shift in the final scores </w:t>
      </w:r>
      <w:r w:rsidR="00222DFD">
        <w:rPr>
          <w:rFonts w:asciiTheme="minorHAnsi" w:hAnsiTheme="minorHAnsi" w:cstheme="minorHAnsi"/>
        </w:rPr>
        <w:t>year on year</w:t>
      </w:r>
      <w:r w:rsidR="00450F7A" w:rsidRPr="00450F7A">
        <w:rPr>
          <w:rFonts w:asciiTheme="minorHAnsi" w:hAnsiTheme="minorHAnsi" w:cstheme="minorHAnsi"/>
        </w:rPr>
        <w:t xml:space="preserve">, will be applied to the points categories. </w:t>
      </w:r>
      <w:r w:rsidRPr="00450F7A">
        <w:rPr>
          <w:rFonts w:asciiTheme="minorHAnsi" w:hAnsiTheme="minorHAnsi" w:cstheme="minorHAnsi"/>
        </w:rPr>
        <w:t>For example, if the lo</w:t>
      </w:r>
      <w:r w:rsidR="00450F7A" w:rsidRPr="00450F7A">
        <w:rPr>
          <w:rFonts w:asciiTheme="minorHAnsi" w:hAnsiTheme="minorHAnsi" w:cstheme="minorHAnsi"/>
        </w:rPr>
        <w:t>west category in year 1 is &lt;10 and the shift in the final scores from year 1 to year 2 is 2%, then the lowest category in year 2 will be &lt;</w:t>
      </w:r>
      <w:proofErr w:type="gramStart"/>
      <w:r w:rsidR="00450F7A" w:rsidRPr="00450F7A">
        <w:rPr>
          <w:rFonts w:asciiTheme="minorHAnsi" w:hAnsiTheme="minorHAnsi" w:cstheme="minorHAnsi"/>
        </w:rPr>
        <w:t>10.2 .</w:t>
      </w:r>
      <w:proofErr w:type="gramEnd"/>
      <w:r w:rsidR="00450F7A" w:rsidRPr="00450F7A">
        <w:rPr>
          <w:rFonts w:asciiTheme="minorHAnsi" w:hAnsiTheme="minorHAnsi" w:cstheme="minorHAnsi"/>
        </w:rPr>
        <w:t xml:space="preserve"> This is to offset the fact that Departmental Cost and Income will be impacted by inflationary increases. </w:t>
      </w:r>
      <w:r w:rsidRPr="00450F7A">
        <w:rPr>
          <w:rFonts w:asciiTheme="minorHAnsi" w:hAnsiTheme="minorHAnsi" w:cstheme="minorHAnsi"/>
        </w:rPr>
        <w:t xml:space="preserve">  </w:t>
      </w:r>
    </w:p>
    <w:p w:rsidR="00BF29DA" w:rsidRPr="00BF29DA" w:rsidRDefault="00BF29DA" w:rsidP="00BF29DA">
      <w:pPr>
        <w:rPr>
          <w:rFonts w:asciiTheme="minorHAnsi" w:hAnsiTheme="minorHAnsi" w:cstheme="minorHAnsi"/>
        </w:rPr>
      </w:pPr>
    </w:p>
    <w:p w:rsidR="00A113A7" w:rsidRDefault="00A113A7" w:rsidP="00185D82">
      <w:pPr>
        <w:pStyle w:val="ListParagraph"/>
        <w:numPr>
          <w:ilvl w:val="0"/>
          <w:numId w:val="1"/>
        </w:numPr>
        <w:rPr>
          <w:rFonts w:asciiTheme="minorHAnsi" w:hAnsiTheme="minorHAnsi" w:cstheme="minorHAnsi"/>
        </w:rPr>
      </w:pPr>
      <w:r>
        <w:rPr>
          <w:rFonts w:asciiTheme="minorHAnsi" w:hAnsiTheme="minorHAnsi" w:cstheme="minorHAnsi"/>
        </w:rPr>
        <w:t xml:space="preserve">Where a department or school has a Deputy </w:t>
      </w:r>
      <w:proofErr w:type="spellStart"/>
      <w:r>
        <w:rPr>
          <w:rFonts w:asciiTheme="minorHAnsi" w:hAnsiTheme="minorHAnsi" w:cstheme="minorHAnsi"/>
        </w:rPr>
        <w:t>HoD</w:t>
      </w:r>
      <w:proofErr w:type="spellEnd"/>
      <w:r>
        <w:rPr>
          <w:rFonts w:asciiTheme="minorHAnsi" w:hAnsiTheme="minorHAnsi" w:cstheme="minorHAnsi"/>
        </w:rPr>
        <w:t xml:space="preserve"> or Section Heads receiving an allowance, the split of the </w:t>
      </w:r>
      <w:proofErr w:type="spellStart"/>
      <w:r>
        <w:rPr>
          <w:rFonts w:asciiTheme="minorHAnsi" w:hAnsiTheme="minorHAnsi" w:cstheme="minorHAnsi"/>
        </w:rPr>
        <w:t>HoD</w:t>
      </w:r>
      <w:proofErr w:type="spellEnd"/>
      <w:r>
        <w:rPr>
          <w:rFonts w:asciiTheme="minorHAnsi" w:hAnsiTheme="minorHAnsi" w:cstheme="minorHAnsi"/>
        </w:rPr>
        <w:t xml:space="preserve"> allowance allocation per department will usually be 60% </w:t>
      </w:r>
      <w:proofErr w:type="spellStart"/>
      <w:r>
        <w:rPr>
          <w:rFonts w:asciiTheme="minorHAnsi" w:hAnsiTheme="minorHAnsi" w:cstheme="minorHAnsi"/>
        </w:rPr>
        <w:t>HoD</w:t>
      </w:r>
      <w:proofErr w:type="spellEnd"/>
      <w:r>
        <w:rPr>
          <w:rFonts w:asciiTheme="minorHAnsi" w:hAnsiTheme="minorHAnsi" w:cstheme="minorHAnsi"/>
        </w:rPr>
        <w:t xml:space="preserve"> and 40% Deputy or shared between the Section Heads. However, if this ratio is not reflective of current practice this can be changed in consultation with the </w:t>
      </w:r>
      <w:proofErr w:type="spellStart"/>
      <w:r>
        <w:rPr>
          <w:rFonts w:asciiTheme="minorHAnsi" w:hAnsiTheme="minorHAnsi" w:cstheme="minorHAnsi"/>
        </w:rPr>
        <w:t>HoD</w:t>
      </w:r>
      <w:proofErr w:type="spellEnd"/>
      <w:r>
        <w:rPr>
          <w:rFonts w:asciiTheme="minorHAnsi" w:hAnsiTheme="minorHAnsi" w:cstheme="minorHAnsi"/>
        </w:rPr>
        <w:t xml:space="preserve"> and Deputy </w:t>
      </w:r>
      <w:proofErr w:type="spellStart"/>
      <w:r>
        <w:rPr>
          <w:rFonts w:asciiTheme="minorHAnsi" w:hAnsiTheme="minorHAnsi" w:cstheme="minorHAnsi"/>
        </w:rPr>
        <w:t>HoD</w:t>
      </w:r>
      <w:proofErr w:type="spellEnd"/>
      <w:r>
        <w:rPr>
          <w:rFonts w:asciiTheme="minorHAnsi" w:hAnsiTheme="minorHAnsi" w:cstheme="minorHAnsi"/>
        </w:rPr>
        <w:t>.</w:t>
      </w:r>
    </w:p>
    <w:p w:rsidR="0025370C" w:rsidRPr="0025370C" w:rsidRDefault="0025370C" w:rsidP="0025370C">
      <w:pPr>
        <w:pStyle w:val="ListParagraph"/>
        <w:rPr>
          <w:rFonts w:asciiTheme="minorHAnsi" w:hAnsiTheme="minorHAnsi" w:cstheme="minorHAnsi"/>
        </w:rPr>
      </w:pPr>
    </w:p>
    <w:p w:rsidR="0025370C" w:rsidRDefault="0025370C" w:rsidP="00185D82">
      <w:pPr>
        <w:pStyle w:val="ListParagraph"/>
        <w:numPr>
          <w:ilvl w:val="0"/>
          <w:numId w:val="1"/>
        </w:numPr>
        <w:rPr>
          <w:rFonts w:asciiTheme="minorHAnsi" w:hAnsiTheme="minorHAnsi" w:cstheme="minorHAnsi"/>
        </w:rPr>
      </w:pPr>
      <w:r>
        <w:rPr>
          <w:rFonts w:asciiTheme="minorHAnsi" w:hAnsiTheme="minorHAnsi" w:cstheme="minorHAnsi"/>
        </w:rPr>
        <w:t xml:space="preserve">CHERTL is not an academic department. However, it is an integral part of the academic </w:t>
      </w:r>
      <w:r w:rsidR="00222DFD">
        <w:rPr>
          <w:rFonts w:asciiTheme="minorHAnsi" w:hAnsiTheme="minorHAnsi" w:cstheme="minorHAnsi"/>
        </w:rPr>
        <w:t>project</w:t>
      </w:r>
      <w:r>
        <w:rPr>
          <w:rFonts w:asciiTheme="minorHAnsi" w:hAnsiTheme="minorHAnsi" w:cstheme="minorHAnsi"/>
        </w:rPr>
        <w:t xml:space="preserve"> of the University and therefore has a Head of Department. The input variables for the calculation of the HOD allowance would not be applicable to CHERTL. For this reason, due to the size and complexity of the department, the HOD allowance that shall apply, is the allowance commensurate with the category for the lowest overall score. </w:t>
      </w:r>
    </w:p>
    <w:p w:rsidR="00A113A7" w:rsidRDefault="00A113A7" w:rsidP="00A113A7">
      <w:pPr>
        <w:pStyle w:val="ListParagraph"/>
        <w:rPr>
          <w:rFonts w:asciiTheme="minorHAnsi" w:hAnsiTheme="minorHAnsi" w:cstheme="minorHAnsi"/>
        </w:rPr>
      </w:pPr>
    </w:p>
    <w:p w:rsidR="00804E02" w:rsidRPr="00185D82" w:rsidRDefault="00663B8A" w:rsidP="00185D82">
      <w:pPr>
        <w:pStyle w:val="ListParagraph"/>
        <w:numPr>
          <w:ilvl w:val="0"/>
          <w:numId w:val="1"/>
        </w:numPr>
        <w:rPr>
          <w:rFonts w:asciiTheme="minorHAnsi" w:hAnsiTheme="minorHAnsi" w:cstheme="minorHAnsi"/>
        </w:rPr>
      </w:pPr>
      <w:r w:rsidRPr="00BE007A">
        <w:rPr>
          <w:rFonts w:asciiTheme="minorHAnsi" w:hAnsiTheme="minorHAnsi" w:cstheme="minorHAnsi"/>
        </w:rPr>
        <w:lastRenderedPageBreak/>
        <w:t xml:space="preserve">Where the current </w:t>
      </w:r>
      <w:proofErr w:type="spellStart"/>
      <w:r w:rsidRPr="00BE007A">
        <w:rPr>
          <w:rFonts w:asciiTheme="minorHAnsi" w:hAnsiTheme="minorHAnsi" w:cstheme="minorHAnsi"/>
        </w:rPr>
        <w:t>HoD</w:t>
      </w:r>
      <w:proofErr w:type="spellEnd"/>
      <w:r w:rsidRPr="00BE007A">
        <w:rPr>
          <w:rFonts w:asciiTheme="minorHAnsi" w:hAnsiTheme="minorHAnsi" w:cstheme="minorHAnsi"/>
        </w:rPr>
        <w:t xml:space="preserve"> proceeds on academic leave and an Acting </w:t>
      </w:r>
      <w:proofErr w:type="spellStart"/>
      <w:r w:rsidRPr="00BE007A">
        <w:rPr>
          <w:rFonts w:asciiTheme="minorHAnsi" w:hAnsiTheme="minorHAnsi" w:cstheme="minorHAnsi"/>
        </w:rPr>
        <w:t>HoD</w:t>
      </w:r>
      <w:proofErr w:type="spellEnd"/>
      <w:r w:rsidRPr="00BE007A">
        <w:rPr>
          <w:rFonts w:asciiTheme="minorHAnsi" w:hAnsiTheme="minorHAnsi" w:cstheme="minorHAnsi"/>
        </w:rPr>
        <w:t xml:space="preserve"> is appointed, the </w:t>
      </w:r>
      <w:r w:rsidR="008F73B5" w:rsidRPr="00BE007A">
        <w:rPr>
          <w:rFonts w:asciiTheme="minorHAnsi" w:hAnsiTheme="minorHAnsi" w:cstheme="minorHAnsi"/>
        </w:rPr>
        <w:t xml:space="preserve">Acting HoD </w:t>
      </w:r>
      <w:r w:rsidR="00A2200A">
        <w:rPr>
          <w:rFonts w:asciiTheme="minorHAnsi" w:hAnsiTheme="minorHAnsi" w:cstheme="minorHAnsi"/>
        </w:rPr>
        <w:t xml:space="preserve">will </w:t>
      </w:r>
      <w:r w:rsidR="008F73B5" w:rsidRPr="00BE007A">
        <w:rPr>
          <w:rFonts w:asciiTheme="minorHAnsi" w:hAnsiTheme="minorHAnsi" w:cstheme="minorHAnsi"/>
        </w:rPr>
        <w:t>get the full allowance</w:t>
      </w:r>
      <w:r w:rsidR="00244E52">
        <w:rPr>
          <w:rFonts w:asciiTheme="minorHAnsi" w:hAnsiTheme="minorHAnsi" w:cstheme="minorHAnsi"/>
        </w:rPr>
        <w:t xml:space="preserve">. However, where the </w:t>
      </w:r>
      <w:proofErr w:type="spellStart"/>
      <w:r w:rsidR="00244E52">
        <w:rPr>
          <w:rFonts w:asciiTheme="minorHAnsi" w:hAnsiTheme="minorHAnsi" w:cstheme="minorHAnsi"/>
        </w:rPr>
        <w:t>HoD</w:t>
      </w:r>
      <w:proofErr w:type="spellEnd"/>
      <w:r w:rsidR="00244E52">
        <w:rPr>
          <w:rFonts w:asciiTheme="minorHAnsi" w:hAnsiTheme="minorHAnsi" w:cstheme="minorHAnsi"/>
        </w:rPr>
        <w:t xml:space="preserve"> is involved in departmental matters, provided this is substantive</w:t>
      </w:r>
      <w:r w:rsidR="00185D82">
        <w:rPr>
          <w:rFonts w:asciiTheme="minorHAnsi" w:hAnsiTheme="minorHAnsi" w:cstheme="minorHAnsi"/>
        </w:rPr>
        <w:t xml:space="preserve"> i.e. at least one  month</w:t>
      </w:r>
      <w:r w:rsidR="005E7AED">
        <w:rPr>
          <w:rFonts w:asciiTheme="minorHAnsi" w:hAnsiTheme="minorHAnsi" w:cstheme="minorHAnsi"/>
        </w:rPr>
        <w:t xml:space="preserve"> academic leave</w:t>
      </w:r>
      <w:r w:rsidR="00244E52">
        <w:rPr>
          <w:rFonts w:asciiTheme="minorHAnsi" w:hAnsiTheme="minorHAnsi" w:cstheme="minorHAnsi"/>
        </w:rPr>
        <w:t xml:space="preserve"> credit will be given in terms of </w:t>
      </w:r>
      <w:r w:rsidR="00185D82">
        <w:rPr>
          <w:rFonts w:asciiTheme="minorHAnsi" w:hAnsiTheme="minorHAnsi" w:cstheme="minorHAnsi"/>
        </w:rPr>
        <w:t xml:space="preserve">the individual’s </w:t>
      </w:r>
      <w:r w:rsidR="00244E52" w:rsidRPr="00185D82">
        <w:rPr>
          <w:rFonts w:asciiTheme="minorHAnsi" w:hAnsiTheme="minorHAnsi" w:cstheme="minorHAnsi"/>
        </w:rPr>
        <w:t>academic leave</w:t>
      </w:r>
      <w:r w:rsidRPr="00185D82">
        <w:rPr>
          <w:rFonts w:asciiTheme="minorHAnsi" w:hAnsiTheme="minorHAnsi" w:cstheme="minorHAnsi"/>
        </w:rPr>
        <w:t xml:space="preserve">; </w:t>
      </w:r>
    </w:p>
    <w:p w:rsidR="00A2200A" w:rsidRPr="00BE007A" w:rsidRDefault="00A2200A" w:rsidP="00A2200A">
      <w:pPr>
        <w:pStyle w:val="ListParagraph"/>
        <w:rPr>
          <w:rFonts w:asciiTheme="minorHAnsi" w:hAnsiTheme="minorHAnsi" w:cstheme="minorHAnsi"/>
        </w:rPr>
      </w:pPr>
    </w:p>
    <w:p w:rsidR="0023381A" w:rsidRDefault="0023381A" w:rsidP="00804E02">
      <w:pPr>
        <w:pStyle w:val="ListParagraph"/>
        <w:numPr>
          <w:ilvl w:val="0"/>
          <w:numId w:val="1"/>
        </w:numPr>
        <w:rPr>
          <w:rFonts w:asciiTheme="minorHAnsi" w:hAnsiTheme="minorHAnsi" w:cstheme="minorHAnsi"/>
        </w:rPr>
      </w:pPr>
      <w:r>
        <w:rPr>
          <w:rFonts w:asciiTheme="minorHAnsi" w:hAnsiTheme="minorHAnsi" w:cstheme="minorHAnsi"/>
        </w:rPr>
        <w:t xml:space="preserve">Review of allowances shall take place with each new </w:t>
      </w:r>
      <w:proofErr w:type="spellStart"/>
      <w:r>
        <w:rPr>
          <w:rFonts w:asciiTheme="minorHAnsi" w:hAnsiTheme="minorHAnsi" w:cstheme="minorHAnsi"/>
        </w:rPr>
        <w:t>HoD</w:t>
      </w:r>
      <w:proofErr w:type="spellEnd"/>
      <w:r>
        <w:rPr>
          <w:rFonts w:asciiTheme="minorHAnsi" w:hAnsiTheme="minorHAnsi" w:cstheme="minorHAnsi"/>
        </w:rPr>
        <w:t xml:space="preserve"> contract. Annual adjustments will be made within this contract period;</w:t>
      </w:r>
    </w:p>
    <w:p w:rsidR="0023381A" w:rsidRDefault="0023381A" w:rsidP="0023381A">
      <w:pPr>
        <w:pStyle w:val="ListParagraph"/>
        <w:rPr>
          <w:rFonts w:asciiTheme="minorHAnsi" w:hAnsiTheme="minorHAnsi" w:cstheme="minorHAnsi"/>
        </w:rPr>
      </w:pPr>
    </w:p>
    <w:p w:rsidR="001433E0" w:rsidRDefault="001433E0" w:rsidP="00804E02">
      <w:pPr>
        <w:pStyle w:val="ListParagraph"/>
        <w:numPr>
          <w:ilvl w:val="0"/>
          <w:numId w:val="1"/>
        </w:numPr>
        <w:rPr>
          <w:rFonts w:asciiTheme="minorHAnsi" w:hAnsiTheme="minorHAnsi" w:cstheme="minorHAnsi"/>
        </w:rPr>
      </w:pPr>
      <w:r w:rsidRPr="00BE007A">
        <w:rPr>
          <w:rFonts w:asciiTheme="minorHAnsi" w:hAnsiTheme="minorHAnsi" w:cstheme="minorHAnsi"/>
        </w:rPr>
        <w:t xml:space="preserve">Transitional arrangements: </w:t>
      </w:r>
      <w:r w:rsidR="0071148A">
        <w:rPr>
          <w:rFonts w:asciiTheme="minorHAnsi" w:hAnsiTheme="minorHAnsi" w:cstheme="minorHAnsi"/>
        </w:rPr>
        <w:t>There shall be transitional arrangements in place such that in</w:t>
      </w:r>
    </w:p>
    <w:p w:rsidR="00902F91" w:rsidRDefault="0071148A" w:rsidP="00902F91">
      <w:pPr>
        <w:pStyle w:val="ListParagraph"/>
        <w:rPr>
          <w:rFonts w:asciiTheme="minorHAnsi" w:hAnsiTheme="minorHAnsi" w:cstheme="minorHAnsi"/>
        </w:rPr>
      </w:pPr>
      <w:r>
        <w:rPr>
          <w:rFonts w:asciiTheme="minorHAnsi" w:hAnsiTheme="minorHAnsi" w:cstheme="minorHAnsi"/>
        </w:rPr>
        <w:t xml:space="preserve">2014, the new allowances will be phased in within the budget available. Those </w:t>
      </w:r>
      <w:proofErr w:type="spellStart"/>
      <w:r>
        <w:rPr>
          <w:rFonts w:asciiTheme="minorHAnsi" w:hAnsiTheme="minorHAnsi" w:cstheme="minorHAnsi"/>
        </w:rPr>
        <w:t>HoDs</w:t>
      </w:r>
      <w:proofErr w:type="spellEnd"/>
      <w:r>
        <w:rPr>
          <w:rFonts w:asciiTheme="minorHAnsi" w:hAnsiTheme="minorHAnsi" w:cstheme="minorHAnsi"/>
        </w:rPr>
        <w:t xml:space="preserve"> currently on contract whose current allowance exceeds the proposed allowance will continue to receive the higher all</w:t>
      </w:r>
      <w:r w:rsidR="0023381A">
        <w:rPr>
          <w:rFonts w:asciiTheme="minorHAnsi" w:hAnsiTheme="minorHAnsi" w:cstheme="minorHAnsi"/>
        </w:rPr>
        <w:t xml:space="preserve">owance for the duration of the </w:t>
      </w:r>
      <w:r>
        <w:rPr>
          <w:rFonts w:asciiTheme="minorHAnsi" w:hAnsiTheme="minorHAnsi" w:cstheme="minorHAnsi"/>
        </w:rPr>
        <w:t>contract. A new contract will have the new allowance linked to it;</w:t>
      </w:r>
    </w:p>
    <w:p w:rsidR="0071148A" w:rsidRDefault="0071148A" w:rsidP="00902F91">
      <w:pPr>
        <w:pStyle w:val="ListParagraph"/>
        <w:rPr>
          <w:rFonts w:asciiTheme="minorHAnsi" w:hAnsiTheme="minorHAnsi" w:cstheme="minorHAnsi"/>
        </w:rPr>
      </w:pPr>
    </w:p>
    <w:p w:rsidR="00237968" w:rsidRPr="0023381A" w:rsidRDefault="0023381A" w:rsidP="0023381A">
      <w:pPr>
        <w:ind w:left="720" w:hanging="720"/>
        <w:rPr>
          <w:rFonts w:asciiTheme="minorHAnsi" w:hAnsiTheme="minorHAnsi" w:cstheme="minorHAnsi"/>
        </w:rPr>
      </w:pPr>
      <w:r>
        <w:rPr>
          <w:rFonts w:asciiTheme="minorHAnsi" w:hAnsiTheme="minorHAnsi" w:cstheme="minorHAnsi"/>
        </w:rPr>
        <w:t xml:space="preserve">     10.</w:t>
      </w:r>
      <w:r>
        <w:rPr>
          <w:rFonts w:asciiTheme="minorHAnsi" w:hAnsiTheme="minorHAnsi" w:cstheme="minorHAnsi"/>
        </w:rPr>
        <w:tab/>
      </w:r>
      <w:r w:rsidR="00F67E32" w:rsidRPr="0023381A">
        <w:rPr>
          <w:rFonts w:asciiTheme="minorHAnsi" w:hAnsiTheme="minorHAnsi" w:cstheme="minorHAnsi"/>
        </w:rPr>
        <w:t>Consultation and approval process:</w:t>
      </w:r>
      <w:r w:rsidR="003C092E" w:rsidRPr="0023381A">
        <w:rPr>
          <w:rFonts w:asciiTheme="minorHAnsi" w:hAnsiTheme="minorHAnsi" w:cstheme="minorHAnsi"/>
        </w:rPr>
        <w:t xml:space="preserve"> </w:t>
      </w:r>
      <w:r w:rsidR="00237968" w:rsidRPr="0023381A">
        <w:rPr>
          <w:rFonts w:asciiTheme="minorHAnsi" w:hAnsiTheme="minorHAnsi" w:cstheme="minorHAnsi"/>
        </w:rPr>
        <w:t xml:space="preserve">This draft document is as a result of discussions between the Director: HR and a sub- committee of </w:t>
      </w:r>
      <w:proofErr w:type="spellStart"/>
      <w:r w:rsidR="00237968" w:rsidRPr="0023381A">
        <w:rPr>
          <w:rFonts w:asciiTheme="minorHAnsi" w:hAnsiTheme="minorHAnsi" w:cstheme="minorHAnsi"/>
        </w:rPr>
        <w:t>HoDs</w:t>
      </w:r>
      <w:proofErr w:type="spellEnd"/>
      <w:r w:rsidR="00237968" w:rsidRPr="0023381A">
        <w:rPr>
          <w:rFonts w:asciiTheme="minorHAnsi" w:hAnsiTheme="minorHAnsi" w:cstheme="minorHAnsi"/>
        </w:rPr>
        <w:t xml:space="preserve"> from the </w:t>
      </w:r>
      <w:proofErr w:type="spellStart"/>
      <w:r w:rsidR="00237968" w:rsidRPr="0023381A">
        <w:rPr>
          <w:rFonts w:asciiTheme="minorHAnsi" w:hAnsiTheme="minorHAnsi" w:cstheme="minorHAnsi"/>
        </w:rPr>
        <w:t>HoD</w:t>
      </w:r>
      <w:proofErr w:type="spellEnd"/>
      <w:r w:rsidR="00237968" w:rsidRPr="0023381A">
        <w:rPr>
          <w:rFonts w:asciiTheme="minorHAnsi" w:hAnsiTheme="minorHAnsi" w:cstheme="minorHAnsi"/>
        </w:rPr>
        <w:t xml:space="preserve"> Forum: Drs Brown and </w:t>
      </w:r>
      <w:proofErr w:type="spellStart"/>
      <w:r w:rsidR="00237968" w:rsidRPr="0023381A">
        <w:rPr>
          <w:rFonts w:asciiTheme="minorHAnsi" w:hAnsiTheme="minorHAnsi" w:cstheme="minorHAnsi"/>
        </w:rPr>
        <w:t>Brukman</w:t>
      </w:r>
      <w:proofErr w:type="spellEnd"/>
      <w:r w:rsidR="00237968" w:rsidRPr="0023381A">
        <w:rPr>
          <w:rFonts w:asciiTheme="minorHAnsi" w:hAnsiTheme="minorHAnsi" w:cstheme="minorHAnsi"/>
        </w:rPr>
        <w:t xml:space="preserve"> and Professors Strelitz and Thorburn. It was presented to the HOD Forum in September 2012 and input from the Forum was also invited electronically. The document was again presented at the </w:t>
      </w:r>
      <w:proofErr w:type="spellStart"/>
      <w:r w:rsidR="00237968" w:rsidRPr="0023381A">
        <w:rPr>
          <w:rFonts w:asciiTheme="minorHAnsi" w:hAnsiTheme="minorHAnsi" w:cstheme="minorHAnsi"/>
        </w:rPr>
        <w:t>HoD</w:t>
      </w:r>
      <w:proofErr w:type="spellEnd"/>
      <w:r w:rsidR="00237968" w:rsidRPr="0023381A">
        <w:rPr>
          <w:rFonts w:asciiTheme="minorHAnsi" w:hAnsiTheme="minorHAnsi" w:cstheme="minorHAnsi"/>
        </w:rPr>
        <w:t xml:space="preserve"> Forum in November 2013. </w:t>
      </w:r>
      <w:proofErr w:type="spellStart"/>
      <w:r w:rsidR="00237968" w:rsidRPr="0023381A">
        <w:rPr>
          <w:rFonts w:asciiTheme="minorHAnsi" w:hAnsiTheme="minorHAnsi" w:cstheme="minorHAnsi"/>
        </w:rPr>
        <w:t>HoDs</w:t>
      </w:r>
      <w:proofErr w:type="spellEnd"/>
      <w:r w:rsidR="00237968" w:rsidRPr="0023381A">
        <w:rPr>
          <w:rFonts w:asciiTheme="minorHAnsi" w:hAnsiTheme="minorHAnsi" w:cstheme="minorHAnsi"/>
        </w:rPr>
        <w:t xml:space="preserve"> were asked to give written feedback to the Director, HR. Feedback was received from five </w:t>
      </w:r>
      <w:proofErr w:type="spellStart"/>
      <w:r w:rsidR="00237968" w:rsidRPr="00826CC5">
        <w:rPr>
          <w:rFonts w:asciiTheme="minorHAnsi" w:hAnsiTheme="minorHAnsi" w:cstheme="minorHAnsi"/>
        </w:rPr>
        <w:t>HoDs</w:t>
      </w:r>
      <w:proofErr w:type="spellEnd"/>
      <w:r w:rsidR="00237968" w:rsidRPr="00826CC5">
        <w:rPr>
          <w:rFonts w:asciiTheme="minorHAnsi" w:hAnsiTheme="minorHAnsi" w:cstheme="minorHAnsi"/>
        </w:rPr>
        <w:t xml:space="preserve">. A final meeting of the sub-committee was held in September 2014 with proposals going to individual </w:t>
      </w:r>
      <w:proofErr w:type="spellStart"/>
      <w:r w:rsidR="00237968" w:rsidRPr="00826CC5">
        <w:rPr>
          <w:rFonts w:asciiTheme="minorHAnsi" w:hAnsiTheme="minorHAnsi" w:cstheme="minorHAnsi"/>
        </w:rPr>
        <w:t>HoDs</w:t>
      </w:r>
      <w:proofErr w:type="spellEnd"/>
      <w:r w:rsidR="00237968" w:rsidRPr="00826CC5">
        <w:rPr>
          <w:rFonts w:asciiTheme="minorHAnsi" w:hAnsiTheme="minorHAnsi" w:cstheme="minorHAnsi"/>
        </w:rPr>
        <w:t xml:space="preserve"> for comment.</w:t>
      </w:r>
    </w:p>
    <w:p w:rsidR="002B5B61" w:rsidRPr="00BE007A" w:rsidRDefault="002B5B61" w:rsidP="00865BDA">
      <w:pPr>
        <w:rPr>
          <w:u w:val="single"/>
        </w:rPr>
      </w:pPr>
    </w:p>
    <w:p w:rsidR="00865BDA" w:rsidRPr="006005F1" w:rsidRDefault="006005F1" w:rsidP="006005F1">
      <w:pPr>
        <w:tabs>
          <w:tab w:val="left" w:pos="924"/>
        </w:tabs>
        <w:jc w:val="right"/>
        <w:rPr>
          <w:rFonts w:asciiTheme="minorHAnsi" w:hAnsiTheme="minorHAnsi" w:cstheme="minorHAnsi"/>
          <w:b/>
          <w:sz w:val="20"/>
          <w:szCs w:val="20"/>
        </w:rPr>
      </w:pPr>
      <w:r w:rsidRPr="006005F1">
        <w:rPr>
          <w:rFonts w:asciiTheme="minorHAnsi" w:hAnsiTheme="minorHAnsi" w:cstheme="minorHAnsi"/>
          <w:b/>
          <w:sz w:val="20"/>
          <w:szCs w:val="20"/>
        </w:rPr>
        <w:t>Written: Director, HR</w:t>
      </w:r>
    </w:p>
    <w:p w:rsidR="00F95BE3" w:rsidRDefault="006005F1" w:rsidP="006005F1">
      <w:pPr>
        <w:tabs>
          <w:tab w:val="left" w:pos="924"/>
        </w:tabs>
        <w:jc w:val="right"/>
        <w:rPr>
          <w:rFonts w:asciiTheme="minorHAnsi" w:hAnsiTheme="minorHAnsi" w:cstheme="minorHAnsi"/>
          <w:b/>
          <w:sz w:val="20"/>
          <w:szCs w:val="20"/>
        </w:rPr>
      </w:pPr>
      <w:r w:rsidRPr="006005F1">
        <w:rPr>
          <w:rFonts w:asciiTheme="minorHAnsi" w:hAnsiTheme="minorHAnsi" w:cstheme="minorHAnsi"/>
          <w:b/>
          <w:sz w:val="20"/>
          <w:szCs w:val="20"/>
        </w:rPr>
        <w:t xml:space="preserve">Last updated: </w:t>
      </w:r>
      <w:r w:rsidR="00826CC5">
        <w:rPr>
          <w:rFonts w:asciiTheme="minorHAnsi" w:hAnsiTheme="minorHAnsi" w:cstheme="minorHAnsi"/>
          <w:b/>
          <w:sz w:val="20"/>
          <w:szCs w:val="20"/>
        </w:rPr>
        <w:t>1 December 2015</w:t>
      </w:r>
    </w:p>
    <w:p w:rsidR="00F95BE3" w:rsidRDefault="00F95BE3" w:rsidP="006005F1">
      <w:pPr>
        <w:tabs>
          <w:tab w:val="left" w:pos="924"/>
        </w:tabs>
        <w:jc w:val="right"/>
        <w:rPr>
          <w:rFonts w:asciiTheme="minorHAnsi" w:hAnsiTheme="minorHAnsi" w:cstheme="minorHAnsi"/>
          <w:b/>
          <w:sz w:val="20"/>
          <w:szCs w:val="20"/>
        </w:rPr>
      </w:pPr>
    </w:p>
    <w:p w:rsidR="009F0F1A" w:rsidRDefault="009F0F1A" w:rsidP="006005F1">
      <w:pPr>
        <w:tabs>
          <w:tab w:val="left" w:pos="924"/>
        </w:tabs>
        <w:jc w:val="right"/>
        <w:rPr>
          <w:rFonts w:asciiTheme="minorHAnsi" w:hAnsiTheme="minorHAnsi" w:cstheme="minorHAnsi"/>
          <w:b/>
          <w:sz w:val="20"/>
          <w:szCs w:val="20"/>
        </w:rPr>
      </w:pPr>
    </w:p>
    <w:p w:rsidR="00F95BE3" w:rsidRDefault="00F95BE3" w:rsidP="00F95BE3">
      <w:pPr>
        <w:tabs>
          <w:tab w:val="left" w:pos="924"/>
        </w:tabs>
        <w:rPr>
          <w:rFonts w:asciiTheme="minorHAnsi" w:hAnsiTheme="minorHAnsi" w:cstheme="minorHAnsi"/>
          <w:b/>
        </w:rPr>
      </w:pPr>
      <w:r w:rsidRPr="00F95BE3">
        <w:rPr>
          <w:rFonts w:asciiTheme="minorHAnsi" w:hAnsiTheme="minorHAnsi" w:cstheme="minorHAnsi"/>
          <w:b/>
        </w:rPr>
        <w:t>Appendix 1:</w:t>
      </w:r>
      <w:r>
        <w:rPr>
          <w:rFonts w:asciiTheme="minorHAnsi" w:hAnsiTheme="minorHAnsi" w:cstheme="minorHAnsi"/>
          <w:b/>
        </w:rPr>
        <w:t xml:space="preserve"> Definitions</w:t>
      </w:r>
    </w:p>
    <w:p w:rsidR="00EF7E1C" w:rsidRDefault="00EF7E1C" w:rsidP="00F95BE3">
      <w:pPr>
        <w:tabs>
          <w:tab w:val="left" w:pos="924"/>
        </w:tabs>
        <w:rPr>
          <w:rFonts w:asciiTheme="minorHAnsi" w:hAnsiTheme="minorHAnsi" w:cstheme="minorHAnsi"/>
          <w:b/>
        </w:rPr>
      </w:pPr>
    </w:p>
    <w:p w:rsidR="00EF7E1C" w:rsidRPr="00EF7E1C" w:rsidRDefault="00EF7E1C" w:rsidP="00F95BE3">
      <w:pPr>
        <w:tabs>
          <w:tab w:val="left" w:pos="924"/>
        </w:tabs>
        <w:rPr>
          <w:rFonts w:asciiTheme="minorHAnsi" w:hAnsiTheme="minorHAnsi" w:cstheme="minorHAnsi"/>
        </w:rPr>
      </w:pPr>
      <w:r w:rsidRPr="00EF7E1C">
        <w:rPr>
          <w:rFonts w:asciiTheme="minorHAnsi" w:hAnsiTheme="minorHAnsi" w:cstheme="minorHAnsi"/>
        </w:rPr>
        <w:t>Academic staff: includes any research staff and instrumentation scientists, paid for by RU i.e. Council controlled posts. Budget allocated posts rather than actuals.</w:t>
      </w:r>
    </w:p>
    <w:p w:rsidR="00EF7E1C" w:rsidRPr="00EF7E1C" w:rsidRDefault="00EF7E1C" w:rsidP="00EF7E1C">
      <w:pPr>
        <w:tabs>
          <w:tab w:val="left" w:pos="924"/>
        </w:tabs>
        <w:rPr>
          <w:rFonts w:asciiTheme="minorHAnsi" w:hAnsiTheme="minorHAnsi" w:cstheme="minorHAnsi"/>
        </w:rPr>
      </w:pPr>
    </w:p>
    <w:p w:rsidR="00EF7E1C" w:rsidRPr="00EF7E1C" w:rsidRDefault="00EF7E1C" w:rsidP="00EF7E1C">
      <w:pPr>
        <w:tabs>
          <w:tab w:val="left" w:pos="924"/>
        </w:tabs>
        <w:rPr>
          <w:rFonts w:asciiTheme="minorHAnsi" w:hAnsiTheme="minorHAnsi" w:cstheme="minorHAnsi"/>
        </w:rPr>
      </w:pPr>
      <w:r w:rsidRPr="00EF7E1C">
        <w:rPr>
          <w:rFonts w:asciiTheme="minorHAnsi" w:hAnsiTheme="minorHAnsi" w:cstheme="minorHAnsi"/>
        </w:rPr>
        <w:t>Support staff:  posts from grade 1 upwards, permanent and contract staff in excess of one year, paid for by RU i.e. Council controlled posts. Budget allocated posts rather than actuals.</w:t>
      </w:r>
    </w:p>
    <w:p w:rsidR="00EF7E1C" w:rsidRPr="00EF7E1C" w:rsidRDefault="00EF7E1C" w:rsidP="00F95BE3">
      <w:pPr>
        <w:tabs>
          <w:tab w:val="left" w:pos="924"/>
        </w:tabs>
        <w:rPr>
          <w:rFonts w:asciiTheme="minorHAnsi" w:hAnsiTheme="minorHAnsi" w:cstheme="minorHAnsi"/>
        </w:rPr>
      </w:pPr>
    </w:p>
    <w:p w:rsidR="00EF7E1C" w:rsidRDefault="00EF7E1C" w:rsidP="00F95BE3">
      <w:pPr>
        <w:tabs>
          <w:tab w:val="left" w:pos="924"/>
        </w:tabs>
        <w:rPr>
          <w:rFonts w:asciiTheme="minorHAnsi" w:hAnsiTheme="minorHAnsi" w:cstheme="minorHAnsi"/>
        </w:rPr>
      </w:pPr>
      <w:r w:rsidRPr="00EF7E1C">
        <w:rPr>
          <w:rFonts w:asciiTheme="minorHAnsi" w:hAnsiTheme="minorHAnsi" w:cstheme="minorHAnsi"/>
        </w:rPr>
        <w:t>Temporary teaching budget, reflected as a SCU</w:t>
      </w:r>
    </w:p>
    <w:p w:rsidR="009F0F1A" w:rsidRDefault="009F0F1A" w:rsidP="00F95BE3">
      <w:pPr>
        <w:tabs>
          <w:tab w:val="left" w:pos="924"/>
        </w:tabs>
        <w:rPr>
          <w:rFonts w:asciiTheme="minorHAnsi" w:hAnsiTheme="minorHAnsi" w:cstheme="minorHAnsi"/>
        </w:rPr>
      </w:pPr>
    </w:p>
    <w:p w:rsidR="009F0F1A" w:rsidRPr="00EF7E1C" w:rsidRDefault="009F0F1A" w:rsidP="00F95BE3">
      <w:pPr>
        <w:tabs>
          <w:tab w:val="left" w:pos="924"/>
        </w:tabs>
        <w:rPr>
          <w:rFonts w:asciiTheme="minorHAnsi" w:hAnsiTheme="minorHAnsi" w:cstheme="minorHAnsi"/>
        </w:rPr>
      </w:pPr>
      <w:proofErr w:type="spellStart"/>
      <w:r>
        <w:rPr>
          <w:rFonts w:asciiTheme="minorHAnsi" w:hAnsiTheme="minorHAnsi" w:cstheme="minorHAnsi"/>
        </w:rPr>
        <w:t>Unweighted</w:t>
      </w:r>
      <w:proofErr w:type="spellEnd"/>
      <w:r>
        <w:rPr>
          <w:rFonts w:asciiTheme="minorHAnsi" w:hAnsiTheme="minorHAnsi" w:cstheme="minorHAnsi"/>
        </w:rPr>
        <w:t xml:space="preserve"> Full-time Equivalents (FTEs): </w:t>
      </w:r>
      <w:r w:rsidR="00BC6D73">
        <w:rPr>
          <w:rFonts w:asciiTheme="minorHAnsi" w:hAnsiTheme="minorHAnsi" w:cstheme="minorHAnsi"/>
        </w:rPr>
        <w:t xml:space="preserve"> </w:t>
      </w:r>
      <w:r w:rsidR="003B7107">
        <w:rPr>
          <w:rFonts w:asciiTheme="minorHAnsi" w:hAnsiTheme="minorHAnsi" w:cstheme="minorHAnsi"/>
        </w:rPr>
        <w:t>Student headcounts are not FTEs. A department can have a headcount  of 100 students registered but if they are all first year students and are doing 3 other credits, then each student will be worth a FTE of 0.25 (1 student/4 credits = 0.25 FTE), a total of 25 FTEs. FTEs</w:t>
      </w:r>
      <w:r w:rsidR="00533227">
        <w:rPr>
          <w:rFonts w:asciiTheme="minorHAnsi" w:hAnsiTheme="minorHAnsi" w:cstheme="minorHAnsi"/>
        </w:rPr>
        <w:t xml:space="preserve"> can be weighted or </w:t>
      </w:r>
      <w:proofErr w:type="spellStart"/>
      <w:r w:rsidR="00533227">
        <w:rPr>
          <w:rFonts w:asciiTheme="minorHAnsi" w:hAnsiTheme="minorHAnsi" w:cstheme="minorHAnsi"/>
        </w:rPr>
        <w:t>unweighted</w:t>
      </w:r>
      <w:proofErr w:type="spellEnd"/>
      <w:r w:rsidR="00533227">
        <w:rPr>
          <w:rFonts w:asciiTheme="minorHAnsi" w:hAnsiTheme="minorHAnsi" w:cstheme="minorHAnsi"/>
        </w:rPr>
        <w:t>, depending on the weighting given by the Department of Higher Education and Training. The weighting is of consequence to the subsidy received.</w:t>
      </w:r>
    </w:p>
    <w:p w:rsidR="00EF7E1C" w:rsidRDefault="00EF7E1C" w:rsidP="00F95BE3">
      <w:pPr>
        <w:tabs>
          <w:tab w:val="left" w:pos="924"/>
        </w:tabs>
        <w:rPr>
          <w:rFonts w:asciiTheme="minorHAnsi" w:hAnsiTheme="minorHAnsi" w:cstheme="minorHAnsi"/>
          <w:b/>
        </w:rPr>
      </w:pPr>
    </w:p>
    <w:p w:rsidR="00F95BE3" w:rsidRPr="00EF7E1C" w:rsidRDefault="00F95BE3" w:rsidP="00F95BE3">
      <w:pPr>
        <w:tabs>
          <w:tab w:val="left" w:pos="924"/>
        </w:tabs>
        <w:rPr>
          <w:rFonts w:asciiTheme="minorHAnsi" w:hAnsiTheme="minorHAnsi" w:cstheme="minorHAnsi"/>
          <w:sz w:val="16"/>
          <w:szCs w:val="16"/>
        </w:rPr>
      </w:pPr>
    </w:p>
    <w:sectPr w:rsidR="00F95BE3" w:rsidRPr="00EF7E1C" w:rsidSect="00EF7E1C">
      <w:headerReference w:type="even" r:id="rId10"/>
      <w:headerReference w:type="default" r:id="rId11"/>
      <w:footerReference w:type="default" r:id="rId12"/>
      <w:head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544" w:rsidRDefault="00CE6544" w:rsidP="00865BDA">
      <w:r>
        <w:separator/>
      </w:r>
    </w:p>
  </w:endnote>
  <w:endnote w:type="continuationSeparator" w:id="0">
    <w:p w:rsidR="00CE6544" w:rsidRDefault="00CE6544" w:rsidP="0086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257531"/>
      <w:docPartObj>
        <w:docPartGallery w:val="Page Numbers (Bottom of Page)"/>
        <w:docPartUnique/>
      </w:docPartObj>
    </w:sdtPr>
    <w:sdtEndPr>
      <w:rPr>
        <w:noProof/>
      </w:rPr>
    </w:sdtEndPr>
    <w:sdtContent>
      <w:p w:rsidR="007306A2" w:rsidRDefault="007306A2">
        <w:pPr>
          <w:pStyle w:val="Footer"/>
          <w:jc w:val="right"/>
        </w:pPr>
        <w:r>
          <w:fldChar w:fldCharType="begin"/>
        </w:r>
        <w:r>
          <w:instrText xml:space="preserve"> PAGE   \* MERGEFORMAT </w:instrText>
        </w:r>
        <w:r>
          <w:fldChar w:fldCharType="separate"/>
        </w:r>
        <w:r w:rsidR="009C5AF1">
          <w:rPr>
            <w:noProof/>
          </w:rPr>
          <w:t>1</w:t>
        </w:r>
        <w:r>
          <w:rPr>
            <w:noProof/>
          </w:rPr>
          <w:fldChar w:fldCharType="end"/>
        </w:r>
      </w:p>
    </w:sdtContent>
  </w:sdt>
  <w:p w:rsidR="007306A2" w:rsidRDefault="007306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544" w:rsidRDefault="00CE6544" w:rsidP="00865BDA">
      <w:r>
        <w:separator/>
      </w:r>
    </w:p>
  </w:footnote>
  <w:footnote w:type="continuationSeparator" w:id="0">
    <w:p w:rsidR="00CE6544" w:rsidRDefault="00CE6544" w:rsidP="00865BDA">
      <w:r>
        <w:continuationSeparator/>
      </w:r>
    </w:p>
  </w:footnote>
  <w:footnote w:id="1">
    <w:p w:rsidR="00E67FCC" w:rsidRPr="00512048" w:rsidRDefault="00E67FCC">
      <w:pPr>
        <w:pStyle w:val="FootnoteText"/>
        <w:rPr>
          <w:rFonts w:asciiTheme="minorHAnsi" w:hAnsiTheme="minorHAnsi" w:cstheme="minorHAnsi"/>
          <w:sz w:val="18"/>
          <w:szCs w:val="18"/>
          <w:lang w:val="en-ZA"/>
        </w:rPr>
      </w:pPr>
      <w:r w:rsidRPr="00301AA8">
        <w:rPr>
          <w:rStyle w:val="FootnoteReference"/>
          <w:rFonts w:asciiTheme="minorHAnsi" w:hAnsiTheme="minorHAnsi" w:cstheme="minorHAnsi"/>
        </w:rPr>
        <w:footnoteRef/>
      </w:r>
      <w:r w:rsidRPr="00301AA8">
        <w:rPr>
          <w:rFonts w:asciiTheme="minorHAnsi" w:hAnsiTheme="minorHAnsi" w:cstheme="minorHAnsi"/>
        </w:rPr>
        <w:t xml:space="preserve"> </w:t>
      </w:r>
      <w:r w:rsidRPr="00CD256D">
        <w:rPr>
          <w:rFonts w:asciiTheme="minorHAnsi" w:hAnsiTheme="minorHAnsi" w:cstheme="minorHAnsi"/>
          <w:sz w:val="18"/>
          <w:szCs w:val="18"/>
          <w:lang w:val="en-ZA"/>
        </w:rPr>
        <w:t xml:space="preserve">This is table H2 in the Statistical Digest but excludes staff costs and other costs.  Other costs relate to support costs e.g. Finance, HR that are </w:t>
      </w:r>
      <w:r w:rsidRPr="00512048">
        <w:rPr>
          <w:rFonts w:asciiTheme="minorHAnsi" w:hAnsiTheme="minorHAnsi" w:cstheme="minorHAnsi"/>
          <w:sz w:val="18"/>
          <w:szCs w:val="18"/>
          <w:lang w:val="en-ZA"/>
        </w:rPr>
        <w:t xml:space="preserve">proportioned across departments based on their student numbers. </w:t>
      </w:r>
    </w:p>
  </w:footnote>
  <w:footnote w:id="2">
    <w:p w:rsidR="00E67FCC" w:rsidRPr="00512048" w:rsidRDefault="00E67FCC">
      <w:pPr>
        <w:pStyle w:val="FootnoteText"/>
        <w:rPr>
          <w:lang w:val="en-ZA"/>
        </w:rPr>
      </w:pPr>
      <w:r w:rsidRPr="00512048">
        <w:rPr>
          <w:rStyle w:val="FootnoteReference"/>
          <w:rFonts w:asciiTheme="minorHAnsi" w:hAnsiTheme="minorHAnsi"/>
          <w:sz w:val="18"/>
          <w:szCs w:val="18"/>
        </w:rPr>
        <w:footnoteRef/>
      </w:r>
      <w:r w:rsidRPr="00512048">
        <w:rPr>
          <w:rFonts w:asciiTheme="minorHAnsi" w:hAnsiTheme="minorHAnsi"/>
          <w:sz w:val="18"/>
          <w:szCs w:val="18"/>
        </w:rPr>
        <w:t xml:space="preserve"> </w:t>
      </w:r>
      <w:r w:rsidRPr="00512048">
        <w:rPr>
          <w:rFonts w:asciiTheme="minorHAnsi" w:hAnsiTheme="minorHAnsi"/>
          <w:sz w:val="18"/>
          <w:szCs w:val="18"/>
          <w:lang w:val="en-ZA"/>
        </w:rPr>
        <w:t>Capital equipment costs removed as determining the value of equipment can be problematic e.g. depreciated value, replacement value? Only constitutes 9% of total RU costs so not substantive.</w:t>
      </w:r>
    </w:p>
  </w:footnote>
  <w:footnote w:id="3">
    <w:p w:rsidR="00E67FCC" w:rsidRPr="00796038" w:rsidRDefault="00E67FCC">
      <w:pPr>
        <w:pStyle w:val="FootnoteText"/>
        <w:rPr>
          <w:rFonts w:asciiTheme="minorHAnsi" w:hAnsiTheme="minorHAnsi" w:cstheme="minorHAnsi"/>
          <w:lang w:val="en-ZA"/>
        </w:rPr>
      </w:pPr>
      <w:r>
        <w:rPr>
          <w:rStyle w:val="FootnoteReference"/>
        </w:rPr>
        <w:footnoteRef/>
      </w:r>
      <w:r>
        <w:t xml:space="preserve"> </w:t>
      </w:r>
      <w:r w:rsidRPr="00796038">
        <w:rPr>
          <w:rFonts w:asciiTheme="minorHAnsi" w:hAnsiTheme="minorHAnsi" w:cstheme="minorHAnsi"/>
          <w:lang w:val="en-ZA"/>
        </w:rPr>
        <w:t xml:space="preserve">The notion of a HoD allowance allocation per department is important as this is not what is paid per person.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CC" w:rsidRDefault="00E67F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CC" w:rsidRDefault="00E67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CC" w:rsidRDefault="00E67F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4D9"/>
    <w:multiLevelType w:val="hybridMultilevel"/>
    <w:tmpl w:val="3CEA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40A90"/>
    <w:multiLevelType w:val="hybridMultilevel"/>
    <w:tmpl w:val="F7F6650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D0230"/>
    <w:multiLevelType w:val="hybridMultilevel"/>
    <w:tmpl w:val="36F2483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B3EA1"/>
    <w:multiLevelType w:val="hybridMultilevel"/>
    <w:tmpl w:val="CA326D4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3821E2"/>
    <w:multiLevelType w:val="hybridMultilevel"/>
    <w:tmpl w:val="ACF24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4F5ED6"/>
    <w:multiLevelType w:val="hybridMultilevel"/>
    <w:tmpl w:val="E41CAA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D07CDD"/>
    <w:multiLevelType w:val="hybridMultilevel"/>
    <w:tmpl w:val="E5E05EAE"/>
    <w:lvl w:ilvl="0" w:tplc="04090001">
      <w:start w:val="1"/>
      <w:numFmt w:val="bullet"/>
      <w:lvlText w:val=""/>
      <w:lvlJc w:val="left"/>
      <w:pPr>
        <w:ind w:left="1124" w:hanging="360"/>
      </w:pPr>
      <w:rPr>
        <w:rFonts w:ascii="Symbol" w:hAnsi="Symbol" w:hint="default"/>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7">
    <w:nsid w:val="37A62AD7"/>
    <w:multiLevelType w:val="hybridMultilevel"/>
    <w:tmpl w:val="78A0EED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E61773"/>
    <w:multiLevelType w:val="hybridMultilevel"/>
    <w:tmpl w:val="8E84C2D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6E1D97"/>
    <w:multiLevelType w:val="hybridMultilevel"/>
    <w:tmpl w:val="E3DE80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FD4898"/>
    <w:multiLevelType w:val="hybridMultilevel"/>
    <w:tmpl w:val="40706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EE56D73"/>
    <w:multiLevelType w:val="hybridMultilevel"/>
    <w:tmpl w:val="6108CF90"/>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num w:numId="1">
    <w:abstractNumId w:val="4"/>
  </w:num>
  <w:num w:numId="2">
    <w:abstractNumId w:val="0"/>
  </w:num>
  <w:num w:numId="3">
    <w:abstractNumId w:val="7"/>
  </w:num>
  <w:num w:numId="4">
    <w:abstractNumId w:val="9"/>
  </w:num>
  <w:num w:numId="5">
    <w:abstractNumId w:val="2"/>
  </w:num>
  <w:num w:numId="6">
    <w:abstractNumId w:val="8"/>
  </w:num>
  <w:num w:numId="7">
    <w:abstractNumId w:val="1"/>
  </w:num>
  <w:num w:numId="8">
    <w:abstractNumId w:val="3"/>
  </w:num>
  <w:num w:numId="9">
    <w:abstractNumId w:val="5"/>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DA"/>
    <w:rsid w:val="000043D0"/>
    <w:rsid w:val="000262BA"/>
    <w:rsid w:val="0002686D"/>
    <w:rsid w:val="0003142F"/>
    <w:rsid w:val="000618D3"/>
    <w:rsid w:val="000673E4"/>
    <w:rsid w:val="00083F37"/>
    <w:rsid w:val="00084F5C"/>
    <w:rsid w:val="000B36DF"/>
    <w:rsid w:val="000C2ACD"/>
    <w:rsid w:val="000F7416"/>
    <w:rsid w:val="00101895"/>
    <w:rsid w:val="00111531"/>
    <w:rsid w:val="0011486D"/>
    <w:rsid w:val="00131576"/>
    <w:rsid w:val="001433E0"/>
    <w:rsid w:val="00163A56"/>
    <w:rsid w:val="001656AA"/>
    <w:rsid w:val="00181C41"/>
    <w:rsid w:val="00185D82"/>
    <w:rsid w:val="001B6575"/>
    <w:rsid w:val="001B6F1F"/>
    <w:rsid w:val="00222DFD"/>
    <w:rsid w:val="00222ED9"/>
    <w:rsid w:val="0023381A"/>
    <w:rsid w:val="00237968"/>
    <w:rsid w:val="00241B26"/>
    <w:rsid w:val="00244E52"/>
    <w:rsid w:val="0025370C"/>
    <w:rsid w:val="002A0CC7"/>
    <w:rsid w:val="002B501D"/>
    <w:rsid w:val="002B5B61"/>
    <w:rsid w:val="00301AA8"/>
    <w:rsid w:val="00310340"/>
    <w:rsid w:val="00312805"/>
    <w:rsid w:val="003164CA"/>
    <w:rsid w:val="003173CE"/>
    <w:rsid w:val="00344DF3"/>
    <w:rsid w:val="003649DD"/>
    <w:rsid w:val="003A3A21"/>
    <w:rsid w:val="003B3C5C"/>
    <w:rsid w:val="003B7107"/>
    <w:rsid w:val="003C092E"/>
    <w:rsid w:val="003D1C87"/>
    <w:rsid w:val="00420335"/>
    <w:rsid w:val="00424C22"/>
    <w:rsid w:val="00450F7A"/>
    <w:rsid w:val="004552D8"/>
    <w:rsid w:val="004B22B6"/>
    <w:rsid w:val="004E601E"/>
    <w:rsid w:val="00512048"/>
    <w:rsid w:val="00533227"/>
    <w:rsid w:val="005448D2"/>
    <w:rsid w:val="00554BA4"/>
    <w:rsid w:val="005C62BD"/>
    <w:rsid w:val="005E7AED"/>
    <w:rsid w:val="006005F1"/>
    <w:rsid w:val="006015D0"/>
    <w:rsid w:val="00605C1F"/>
    <w:rsid w:val="00613B90"/>
    <w:rsid w:val="00614C85"/>
    <w:rsid w:val="00615A5F"/>
    <w:rsid w:val="006368CB"/>
    <w:rsid w:val="00653453"/>
    <w:rsid w:val="00662211"/>
    <w:rsid w:val="00663B8A"/>
    <w:rsid w:val="006665E1"/>
    <w:rsid w:val="00682208"/>
    <w:rsid w:val="006A7F85"/>
    <w:rsid w:val="006D3D39"/>
    <w:rsid w:val="00710162"/>
    <w:rsid w:val="0071148A"/>
    <w:rsid w:val="00715AA0"/>
    <w:rsid w:val="00722EA6"/>
    <w:rsid w:val="0072765D"/>
    <w:rsid w:val="0072777C"/>
    <w:rsid w:val="007306A2"/>
    <w:rsid w:val="00732AEC"/>
    <w:rsid w:val="007377A0"/>
    <w:rsid w:val="00741462"/>
    <w:rsid w:val="00746E74"/>
    <w:rsid w:val="007715C0"/>
    <w:rsid w:val="00784B00"/>
    <w:rsid w:val="00786D2D"/>
    <w:rsid w:val="00796038"/>
    <w:rsid w:val="007C0D17"/>
    <w:rsid w:val="007D1CA3"/>
    <w:rsid w:val="007E3025"/>
    <w:rsid w:val="007F660B"/>
    <w:rsid w:val="00804E02"/>
    <w:rsid w:val="00826CC5"/>
    <w:rsid w:val="008452D0"/>
    <w:rsid w:val="00846948"/>
    <w:rsid w:val="008621F2"/>
    <w:rsid w:val="00865BDA"/>
    <w:rsid w:val="008A17DD"/>
    <w:rsid w:val="008A38BC"/>
    <w:rsid w:val="008B125D"/>
    <w:rsid w:val="008B785F"/>
    <w:rsid w:val="008D7CB4"/>
    <w:rsid w:val="008E4238"/>
    <w:rsid w:val="008F73B5"/>
    <w:rsid w:val="00902F91"/>
    <w:rsid w:val="009328F3"/>
    <w:rsid w:val="0093690B"/>
    <w:rsid w:val="00937399"/>
    <w:rsid w:val="00937E9C"/>
    <w:rsid w:val="009436B2"/>
    <w:rsid w:val="009605F6"/>
    <w:rsid w:val="009636B4"/>
    <w:rsid w:val="0096374F"/>
    <w:rsid w:val="00975084"/>
    <w:rsid w:val="009B027D"/>
    <w:rsid w:val="009B62B4"/>
    <w:rsid w:val="009C2B54"/>
    <w:rsid w:val="009C3AAF"/>
    <w:rsid w:val="009C41DD"/>
    <w:rsid w:val="009C5AF1"/>
    <w:rsid w:val="009E2705"/>
    <w:rsid w:val="009E7BCE"/>
    <w:rsid w:val="009F0F1A"/>
    <w:rsid w:val="00A01C63"/>
    <w:rsid w:val="00A113A7"/>
    <w:rsid w:val="00A2200A"/>
    <w:rsid w:val="00A33CED"/>
    <w:rsid w:val="00A57268"/>
    <w:rsid w:val="00A918A7"/>
    <w:rsid w:val="00AA235C"/>
    <w:rsid w:val="00AB2726"/>
    <w:rsid w:val="00B31232"/>
    <w:rsid w:val="00B43703"/>
    <w:rsid w:val="00B44756"/>
    <w:rsid w:val="00B744CF"/>
    <w:rsid w:val="00B92F78"/>
    <w:rsid w:val="00BA63C3"/>
    <w:rsid w:val="00BC2BA7"/>
    <w:rsid w:val="00BC6D73"/>
    <w:rsid w:val="00BE007A"/>
    <w:rsid w:val="00BF29DA"/>
    <w:rsid w:val="00C62F9F"/>
    <w:rsid w:val="00C90744"/>
    <w:rsid w:val="00C947ED"/>
    <w:rsid w:val="00CA17E5"/>
    <w:rsid w:val="00CA26E3"/>
    <w:rsid w:val="00CC7451"/>
    <w:rsid w:val="00CD256D"/>
    <w:rsid w:val="00CE20B5"/>
    <w:rsid w:val="00CE6539"/>
    <w:rsid w:val="00CE6544"/>
    <w:rsid w:val="00CE79BB"/>
    <w:rsid w:val="00D65DD3"/>
    <w:rsid w:val="00D7413B"/>
    <w:rsid w:val="00D7424A"/>
    <w:rsid w:val="00D97787"/>
    <w:rsid w:val="00DA50B2"/>
    <w:rsid w:val="00DB0450"/>
    <w:rsid w:val="00DF4BC3"/>
    <w:rsid w:val="00E01E36"/>
    <w:rsid w:val="00E13786"/>
    <w:rsid w:val="00E32448"/>
    <w:rsid w:val="00E42528"/>
    <w:rsid w:val="00E509B4"/>
    <w:rsid w:val="00E67FCC"/>
    <w:rsid w:val="00E91DE5"/>
    <w:rsid w:val="00E91EDC"/>
    <w:rsid w:val="00EC0E5E"/>
    <w:rsid w:val="00EF54E3"/>
    <w:rsid w:val="00EF7E1C"/>
    <w:rsid w:val="00F015EB"/>
    <w:rsid w:val="00F03DCF"/>
    <w:rsid w:val="00F10365"/>
    <w:rsid w:val="00F1451B"/>
    <w:rsid w:val="00F25FE3"/>
    <w:rsid w:val="00F37B16"/>
    <w:rsid w:val="00F67E32"/>
    <w:rsid w:val="00F70E70"/>
    <w:rsid w:val="00F77C2F"/>
    <w:rsid w:val="00F95BE3"/>
    <w:rsid w:val="00FF05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5F"/>
    <w:rPr>
      <w:sz w:val="24"/>
      <w:szCs w:val="24"/>
      <w:lang w:val="en-GB"/>
    </w:rPr>
  </w:style>
  <w:style w:type="paragraph" w:styleId="Heading1">
    <w:name w:val="heading 1"/>
    <w:basedOn w:val="Normal"/>
    <w:next w:val="Normal"/>
    <w:link w:val="Heading1Char"/>
    <w:qFormat/>
    <w:rsid w:val="00615A5F"/>
    <w:pPr>
      <w:keepNext/>
      <w:outlineLvl w:val="0"/>
    </w:pPr>
    <w:rPr>
      <w:b/>
      <w:bCs/>
    </w:rPr>
  </w:style>
  <w:style w:type="paragraph" w:styleId="Heading2">
    <w:name w:val="heading 2"/>
    <w:basedOn w:val="Normal"/>
    <w:next w:val="Normal"/>
    <w:link w:val="Heading2Char"/>
    <w:qFormat/>
    <w:rsid w:val="00615A5F"/>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A5F"/>
    <w:rPr>
      <w:b/>
      <w:bCs/>
      <w:sz w:val="24"/>
      <w:szCs w:val="24"/>
      <w:lang w:val="en-GB"/>
    </w:rPr>
  </w:style>
  <w:style w:type="character" w:customStyle="1" w:styleId="Heading2Char">
    <w:name w:val="Heading 2 Char"/>
    <w:basedOn w:val="DefaultParagraphFont"/>
    <w:link w:val="Heading2"/>
    <w:rsid w:val="00615A5F"/>
    <w:rPr>
      <w:b/>
      <w:bCs/>
      <w:sz w:val="24"/>
      <w:szCs w:val="24"/>
      <w:u w:val="single"/>
      <w:lang w:val="en-GB"/>
    </w:rPr>
  </w:style>
  <w:style w:type="paragraph" w:styleId="NoSpacing">
    <w:name w:val="No Spacing"/>
    <w:uiPriority w:val="1"/>
    <w:qFormat/>
    <w:rsid w:val="00615A5F"/>
    <w:rPr>
      <w:rFonts w:asciiTheme="minorHAnsi" w:eastAsiaTheme="minorEastAsia" w:hAnsiTheme="minorHAnsi" w:cstheme="minorBidi"/>
      <w:sz w:val="22"/>
      <w:szCs w:val="22"/>
    </w:rPr>
  </w:style>
  <w:style w:type="paragraph" w:styleId="ListParagraph">
    <w:name w:val="List Paragraph"/>
    <w:basedOn w:val="Normal"/>
    <w:uiPriority w:val="34"/>
    <w:qFormat/>
    <w:rsid w:val="00615A5F"/>
    <w:pPr>
      <w:ind w:left="720"/>
      <w:contextualSpacing/>
    </w:pPr>
  </w:style>
  <w:style w:type="paragraph" w:styleId="Header">
    <w:name w:val="header"/>
    <w:basedOn w:val="Normal"/>
    <w:link w:val="HeaderChar"/>
    <w:uiPriority w:val="99"/>
    <w:unhideWhenUsed/>
    <w:rsid w:val="00865BDA"/>
    <w:pPr>
      <w:tabs>
        <w:tab w:val="center" w:pos="4680"/>
        <w:tab w:val="right" w:pos="9360"/>
      </w:tabs>
    </w:pPr>
  </w:style>
  <w:style w:type="character" w:customStyle="1" w:styleId="HeaderChar">
    <w:name w:val="Header Char"/>
    <w:basedOn w:val="DefaultParagraphFont"/>
    <w:link w:val="Header"/>
    <w:uiPriority w:val="99"/>
    <w:rsid w:val="00865BDA"/>
    <w:rPr>
      <w:sz w:val="24"/>
      <w:szCs w:val="24"/>
      <w:lang w:val="en-GB"/>
    </w:rPr>
  </w:style>
  <w:style w:type="paragraph" w:styleId="Footer">
    <w:name w:val="footer"/>
    <w:basedOn w:val="Normal"/>
    <w:link w:val="FooterChar"/>
    <w:uiPriority w:val="99"/>
    <w:unhideWhenUsed/>
    <w:rsid w:val="00865BDA"/>
    <w:pPr>
      <w:tabs>
        <w:tab w:val="center" w:pos="4680"/>
        <w:tab w:val="right" w:pos="9360"/>
      </w:tabs>
    </w:pPr>
  </w:style>
  <w:style w:type="character" w:customStyle="1" w:styleId="FooterChar">
    <w:name w:val="Footer Char"/>
    <w:basedOn w:val="DefaultParagraphFont"/>
    <w:link w:val="Footer"/>
    <w:uiPriority w:val="99"/>
    <w:rsid w:val="00865BDA"/>
    <w:rPr>
      <w:sz w:val="24"/>
      <w:szCs w:val="24"/>
      <w:lang w:val="en-GB"/>
    </w:rPr>
  </w:style>
  <w:style w:type="paragraph" w:styleId="FootnoteText">
    <w:name w:val="footnote text"/>
    <w:basedOn w:val="Normal"/>
    <w:link w:val="FootnoteTextChar"/>
    <w:uiPriority w:val="99"/>
    <w:semiHidden/>
    <w:unhideWhenUsed/>
    <w:rsid w:val="00F70E70"/>
    <w:rPr>
      <w:sz w:val="20"/>
      <w:szCs w:val="20"/>
    </w:rPr>
  </w:style>
  <w:style w:type="character" w:customStyle="1" w:styleId="FootnoteTextChar">
    <w:name w:val="Footnote Text Char"/>
    <w:basedOn w:val="DefaultParagraphFont"/>
    <w:link w:val="FootnoteText"/>
    <w:uiPriority w:val="99"/>
    <w:semiHidden/>
    <w:rsid w:val="00F70E70"/>
    <w:rPr>
      <w:lang w:val="en-GB"/>
    </w:rPr>
  </w:style>
  <w:style w:type="character" w:styleId="FootnoteReference">
    <w:name w:val="footnote reference"/>
    <w:basedOn w:val="DefaultParagraphFont"/>
    <w:uiPriority w:val="99"/>
    <w:semiHidden/>
    <w:unhideWhenUsed/>
    <w:rsid w:val="00F70E70"/>
    <w:rPr>
      <w:vertAlign w:val="superscript"/>
    </w:rPr>
  </w:style>
  <w:style w:type="table" w:styleId="TableGrid">
    <w:name w:val="Table Grid"/>
    <w:basedOn w:val="TableNormal"/>
    <w:uiPriority w:val="59"/>
    <w:rsid w:val="009E7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5F"/>
    <w:rPr>
      <w:sz w:val="24"/>
      <w:szCs w:val="24"/>
      <w:lang w:val="en-GB"/>
    </w:rPr>
  </w:style>
  <w:style w:type="paragraph" w:styleId="Heading1">
    <w:name w:val="heading 1"/>
    <w:basedOn w:val="Normal"/>
    <w:next w:val="Normal"/>
    <w:link w:val="Heading1Char"/>
    <w:qFormat/>
    <w:rsid w:val="00615A5F"/>
    <w:pPr>
      <w:keepNext/>
      <w:outlineLvl w:val="0"/>
    </w:pPr>
    <w:rPr>
      <w:b/>
      <w:bCs/>
    </w:rPr>
  </w:style>
  <w:style w:type="paragraph" w:styleId="Heading2">
    <w:name w:val="heading 2"/>
    <w:basedOn w:val="Normal"/>
    <w:next w:val="Normal"/>
    <w:link w:val="Heading2Char"/>
    <w:qFormat/>
    <w:rsid w:val="00615A5F"/>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A5F"/>
    <w:rPr>
      <w:b/>
      <w:bCs/>
      <w:sz w:val="24"/>
      <w:szCs w:val="24"/>
      <w:lang w:val="en-GB"/>
    </w:rPr>
  </w:style>
  <w:style w:type="character" w:customStyle="1" w:styleId="Heading2Char">
    <w:name w:val="Heading 2 Char"/>
    <w:basedOn w:val="DefaultParagraphFont"/>
    <w:link w:val="Heading2"/>
    <w:rsid w:val="00615A5F"/>
    <w:rPr>
      <w:b/>
      <w:bCs/>
      <w:sz w:val="24"/>
      <w:szCs w:val="24"/>
      <w:u w:val="single"/>
      <w:lang w:val="en-GB"/>
    </w:rPr>
  </w:style>
  <w:style w:type="paragraph" w:styleId="NoSpacing">
    <w:name w:val="No Spacing"/>
    <w:uiPriority w:val="1"/>
    <w:qFormat/>
    <w:rsid w:val="00615A5F"/>
    <w:rPr>
      <w:rFonts w:asciiTheme="minorHAnsi" w:eastAsiaTheme="minorEastAsia" w:hAnsiTheme="minorHAnsi" w:cstheme="minorBidi"/>
      <w:sz w:val="22"/>
      <w:szCs w:val="22"/>
    </w:rPr>
  </w:style>
  <w:style w:type="paragraph" w:styleId="ListParagraph">
    <w:name w:val="List Paragraph"/>
    <w:basedOn w:val="Normal"/>
    <w:uiPriority w:val="34"/>
    <w:qFormat/>
    <w:rsid w:val="00615A5F"/>
    <w:pPr>
      <w:ind w:left="720"/>
      <w:contextualSpacing/>
    </w:pPr>
  </w:style>
  <w:style w:type="paragraph" w:styleId="Header">
    <w:name w:val="header"/>
    <w:basedOn w:val="Normal"/>
    <w:link w:val="HeaderChar"/>
    <w:uiPriority w:val="99"/>
    <w:unhideWhenUsed/>
    <w:rsid w:val="00865BDA"/>
    <w:pPr>
      <w:tabs>
        <w:tab w:val="center" w:pos="4680"/>
        <w:tab w:val="right" w:pos="9360"/>
      </w:tabs>
    </w:pPr>
  </w:style>
  <w:style w:type="character" w:customStyle="1" w:styleId="HeaderChar">
    <w:name w:val="Header Char"/>
    <w:basedOn w:val="DefaultParagraphFont"/>
    <w:link w:val="Header"/>
    <w:uiPriority w:val="99"/>
    <w:rsid w:val="00865BDA"/>
    <w:rPr>
      <w:sz w:val="24"/>
      <w:szCs w:val="24"/>
      <w:lang w:val="en-GB"/>
    </w:rPr>
  </w:style>
  <w:style w:type="paragraph" w:styleId="Footer">
    <w:name w:val="footer"/>
    <w:basedOn w:val="Normal"/>
    <w:link w:val="FooterChar"/>
    <w:uiPriority w:val="99"/>
    <w:unhideWhenUsed/>
    <w:rsid w:val="00865BDA"/>
    <w:pPr>
      <w:tabs>
        <w:tab w:val="center" w:pos="4680"/>
        <w:tab w:val="right" w:pos="9360"/>
      </w:tabs>
    </w:pPr>
  </w:style>
  <w:style w:type="character" w:customStyle="1" w:styleId="FooterChar">
    <w:name w:val="Footer Char"/>
    <w:basedOn w:val="DefaultParagraphFont"/>
    <w:link w:val="Footer"/>
    <w:uiPriority w:val="99"/>
    <w:rsid w:val="00865BDA"/>
    <w:rPr>
      <w:sz w:val="24"/>
      <w:szCs w:val="24"/>
      <w:lang w:val="en-GB"/>
    </w:rPr>
  </w:style>
  <w:style w:type="paragraph" w:styleId="FootnoteText">
    <w:name w:val="footnote text"/>
    <w:basedOn w:val="Normal"/>
    <w:link w:val="FootnoteTextChar"/>
    <w:uiPriority w:val="99"/>
    <w:semiHidden/>
    <w:unhideWhenUsed/>
    <w:rsid w:val="00F70E70"/>
    <w:rPr>
      <w:sz w:val="20"/>
      <w:szCs w:val="20"/>
    </w:rPr>
  </w:style>
  <w:style w:type="character" w:customStyle="1" w:styleId="FootnoteTextChar">
    <w:name w:val="Footnote Text Char"/>
    <w:basedOn w:val="DefaultParagraphFont"/>
    <w:link w:val="FootnoteText"/>
    <w:uiPriority w:val="99"/>
    <w:semiHidden/>
    <w:rsid w:val="00F70E70"/>
    <w:rPr>
      <w:lang w:val="en-GB"/>
    </w:rPr>
  </w:style>
  <w:style w:type="character" w:styleId="FootnoteReference">
    <w:name w:val="footnote reference"/>
    <w:basedOn w:val="DefaultParagraphFont"/>
    <w:uiPriority w:val="99"/>
    <w:semiHidden/>
    <w:unhideWhenUsed/>
    <w:rsid w:val="00F70E70"/>
    <w:rPr>
      <w:vertAlign w:val="superscript"/>
    </w:rPr>
  </w:style>
  <w:style w:type="table" w:styleId="TableGrid">
    <w:name w:val="Table Grid"/>
    <w:basedOn w:val="TableNormal"/>
    <w:uiPriority w:val="59"/>
    <w:rsid w:val="009E7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86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BD0EE-1F5E-4B1F-AC78-4496A34F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4</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152</cp:revision>
  <cp:lastPrinted>2014-11-26T11:59:00Z</cp:lastPrinted>
  <dcterms:created xsi:type="dcterms:W3CDTF">2012-08-29T03:20:00Z</dcterms:created>
  <dcterms:modified xsi:type="dcterms:W3CDTF">2015-01-31T09:41:00Z</dcterms:modified>
</cp:coreProperties>
</file>