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7C3" w:rsidRPr="00B30283" w:rsidRDefault="007917C3" w:rsidP="007917C3">
      <w:pPr>
        <w:pStyle w:val="ListParagraph"/>
        <w:spacing w:after="0"/>
        <w:ind w:left="0"/>
        <w:jc w:val="center"/>
        <w:rPr>
          <w:b/>
          <w:sz w:val="28"/>
          <w:szCs w:val="28"/>
        </w:rPr>
      </w:pPr>
      <w:r w:rsidRPr="00B30283">
        <w:rPr>
          <w:b/>
          <w:sz w:val="28"/>
          <w:szCs w:val="28"/>
        </w:rPr>
        <w:t>Rhodes University</w:t>
      </w:r>
      <w:r w:rsidR="00B21E11" w:rsidRPr="00B30283">
        <w:rPr>
          <w:b/>
          <w:sz w:val="28"/>
          <w:szCs w:val="28"/>
        </w:rPr>
        <w:t xml:space="preserve">: </w:t>
      </w:r>
      <w:r w:rsidR="00613236" w:rsidRPr="00B30283">
        <w:rPr>
          <w:b/>
          <w:sz w:val="28"/>
          <w:szCs w:val="28"/>
        </w:rPr>
        <w:t xml:space="preserve">Academic </w:t>
      </w:r>
      <w:r w:rsidR="00B21E11" w:rsidRPr="00B30283">
        <w:rPr>
          <w:b/>
          <w:sz w:val="28"/>
          <w:szCs w:val="28"/>
        </w:rPr>
        <w:t>Staff</w:t>
      </w:r>
    </w:p>
    <w:p w:rsidR="007917C3" w:rsidRPr="00B30283" w:rsidRDefault="00CE01F9" w:rsidP="007917C3">
      <w:pPr>
        <w:pStyle w:val="ListParagraph"/>
        <w:spacing w:after="0"/>
        <w:ind w:left="0"/>
        <w:jc w:val="center"/>
        <w:rPr>
          <w:b/>
          <w:sz w:val="28"/>
          <w:szCs w:val="28"/>
        </w:rPr>
      </w:pPr>
      <w:r w:rsidRPr="00B30283">
        <w:rPr>
          <w:b/>
          <w:sz w:val="28"/>
          <w:szCs w:val="28"/>
        </w:rPr>
        <w:t xml:space="preserve">Protocol relating to the payment of </w:t>
      </w:r>
      <w:r w:rsidR="007917C3" w:rsidRPr="00B30283">
        <w:rPr>
          <w:b/>
          <w:sz w:val="28"/>
          <w:szCs w:val="28"/>
        </w:rPr>
        <w:t>Scarcity Allowances</w:t>
      </w:r>
    </w:p>
    <w:p w:rsidR="007917C3" w:rsidRPr="00B30283" w:rsidRDefault="007917C3" w:rsidP="007917C3">
      <w:pPr>
        <w:pStyle w:val="ListParagraph"/>
        <w:spacing w:after="0"/>
        <w:ind w:left="0"/>
        <w:jc w:val="center"/>
        <w:rPr>
          <w:b/>
          <w:sz w:val="28"/>
          <w:szCs w:val="28"/>
        </w:rPr>
      </w:pPr>
    </w:p>
    <w:p w:rsidR="00274A5D" w:rsidRPr="0019619D" w:rsidRDefault="00274A5D" w:rsidP="007917C3">
      <w:pPr>
        <w:pStyle w:val="ListParagraph"/>
        <w:spacing w:after="0"/>
        <w:ind w:left="0"/>
        <w:jc w:val="center"/>
        <w:rPr>
          <w:b/>
          <w:sz w:val="16"/>
          <w:szCs w:val="16"/>
        </w:rPr>
      </w:pPr>
    </w:p>
    <w:p w:rsidR="00613236" w:rsidRPr="00B30283" w:rsidRDefault="00613236" w:rsidP="00613236">
      <w:pPr>
        <w:pStyle w:val="ListParagraph"/>
        <w:numPr>
          <w:ilvl w:val="0"/>
          <w:numId w:val="12"/>
        </w:numPr>
        <w:rPr>
          <w:b/>
          <w:sz w:val="24"/>
          <w:szCs w:val="24"/>
        </w:rPr>
      </w:pPr>
      <w:r w:rsidRPr="00B30283">
        <w:rPr>
          <w:b/>
          <w:sz w:val="24"/>
          <w:szCs w:val="24"/>
        </w:rPr>
        <w:t>Background</w:t>
      </w:r>
    </w:p>
    <w:p w:rsidR="00613236" w:rsidRPr="00B30283" w:rsidRDefault="00613236" w:rsidP="00613236">
      <w:pPr>
        <w:pStyle w:val="ListParagraph"/>
        <w:tabs>
          <w:tab w:val="left" w:pos="2220"/>
        </w:tabs>
        <w:ind w:left="0"/>
      </w:pPr>
      <w:r w:rsidRPr="00B30283">
        <w:t xml:space="preserve">In the past with the exception of a few disciplinary areas, scarcity allowances have not been paid to academic staff at Rhodes University.  Prior to 2006, non-pensionable allowances were paid to attract or retain staff in </w:t>
      </w:r>
      <w:r w:rsidR="00B86058" w:rsidRPr="00B30283">
        <w:t xml:space="preserve">certain </w:t>
      </w:r>
      <w:r w:rsidRPr="00B30283">
        <w:t xml:space="preserve">market related disciplines. As such it can be argued that these were scarcity allowances although contractually, the allowances were not </w:t>
      </w:r>
      <w:r w:rsidR="00EA643A" w:rsidRPr="00B30283">
        <w:t xml:space="preserve">necessarily </w:t>
      </w:r>
      <w:r w:rsidRPr="00B30283">
        <w:t xml:space="preserve">positioned </w:t>
      </w:r>
      <w:r w:rsidR="00EA643A" w:rsidRPr="00B30283">
        <w:t>in this way</w:t>
      </w:r>
      <w:r w:rsidRPr="00B30283">
        <w:t>. No conditions were linked to the payment of such allowances. The disciplinary areas w</w:t>
      </w:r>
      <w:r w:rsidR="00B86058" w:rsidRPr="00B30283">
        <w:t>h</w:t>
      </w:r>
      <w:r w:rsidRPr="00B30283">
        <w:t xml:space="preserve">ere </w:t>
      </w:r>
      <w:r w:rsidR="00870C7B" w:rsidRPr="00B30283">
        <w:t xml:space="preserve">scarcity </w:t>
      </w:r>
      <w:r w:rsidRPr="00B30283">
        <w:t xml:space="preserve">allowances have been paid </w:t>
      </w:r>
      <w:r w:rsidR="00845060" w:rsidRPr="00B30283">
        <w:rPr>
          <w:u w:val="single"/>
        </w:rPr>
        <w:t>historicall</w:t>
      </w:r>
      <w:r w:rsidR="00845060" w:rsidRPr="00B30283">
        <w:t xml:space="preserve">y </w:t>
      </w:r>
      <w:r w:rsidRPr="00B30283">
        <w:t>are accounting (for Chartered Accountants), financial management (for Chartered Accountants)</w:t>
      </w:r>
      <w:r w:rsidR="008C2E89" w:rsidRPr="00B30283">
        <w:t xml:space="preserve">, </w:t>
      </w:r>
      <w:r w:rsidR="00870C7B" w:rsidRPr="00B30283">
        <w:t xml:space="preserve">and </w:t>
      </w:r>
      <w:r w:rsidR="00EA643A" w:rsidRPr="00B30283">
        <w:t>organisational psychology</w:t>
      </w:r>
      <w:r w:rsidR="004B6198" w:rsidRPr="00B30283">
        <w:t xml:space="preserve">. </w:t>
      </w:r>
    </w:p>
    <w:p w:rsidR="00991F11" w:rsidRPr="00B30283" w:rsidRDefault="00991F11" w:rsidP="00613236">
      <w:pPr>
        <w:pStyle w:val="ListParagraph"/>
        <w:tabs>
          <w:tab w:val="left" w:pos="2220"/>
        </w:tabs>
        <w:ind w:left="0"/>
      </w:pPr>
    </w:p>
    <w:p w:rsidR="00991F11" w:rsidRPr="00B30283" w:rsidRDefault="00FD1C36" w:rsidP="00613236">
      <w:pPr>
        <w:pStyle w:val="ListParagraph"/>
        <w:tabs>
          <w:tab w:val="left" w:pos="2220"/>
        </w:tabs>
        <w:ind w:left="0"/>
      </w:pPr>
      <w:r w:rsidRPr="00B30283">
        <w:t>Beyond the</w:t>
      </w:r>
      <w:r w:rsidR="00991F11" w:rsidRPr="00B30283">
        <w:t xml:space="preserve"> need to provide a framework for the determinatio</w:t>
      </w:r>
      <w:r w:rsidRPr="00B30283">
        <w:t xml:space="preserve">n of the current allowances, there is a need </w:t>
      </w:r>
      <w:r w:rsidR="00870C7B" w:rsidRPr="00B30283">
        <w:t>to explore how scarcity allowances can assist in the attraction and retention of academic staff.</w:t>
      </w:r>
    </w:p>
    <w:p w:rsidR="00EA643A" w:rsidRPr="00B30283" w:rsidRDefault="00EA643A" w:rsidP="00613236">
      <w:pPr>
        <w:pStyle w:val="ListParagraph"/>
        <w:tabs>
          <w:tab w:val="left" w:pos="2220"/>
        </w:tabs>
        <w:ind w:left="0"/>
      </w:pPr>
    </w:p>
    <w:p w:rsidR="00845060" w:rsidRPr="00B30283" w:rsidRDefault="00845060" w:rsidP="00613236">
      <w:pPr>
        <w:pStyle w:val="ListParagraph"/>
        <w:tabs>
          <w:tab w:val="left" w:pos="2220"/>
        </w:tabs>
        <w:ind w:left="0"/>
      </w:pPr>
      <w:r w:rsidRPr="00B30283">
        <w:t xml:space="preserve">Please note that this protocol only deals with scarcity allowances for academic staff. A separate protocol exists for scarcity allowances for support staff. It is similar in many respects. </w:t>
      </w:r>
    </w:p>
    <w:p w:rsidR="00845060" w:rsidRPr="00B30283" w:rsidRDefault="00845060" w:rsidP="00613236">
      <w:pPr>
        <w:pStyle w:val="ListParagraph"/>
        <w:tabs>
          <w:tab w:val="left" w:pos="2220"/>
        </w:tabs>
        <w:ind w:left="0"/>
      </w:pPr>
    </w:p>
    <w:p w:rsidR="0018499A" w:rsidRPr="00B30283" w:rsidRDefault="0018499A" w:rsidP="0018499A">
      <w:pPr>
        <w:pStyle w:val="ListParagraph"/>
        <w:numPr>
          <w:ilvl w:val="0"/>
          <w:numId w:val="12"/>
        </w:numPr>
        <w:spacing w:after="0"/>
        <w:rPr>
          <w:b/>
          <w:sz w:val="24"/>
          <w:szCs w:val="24"/>
        </w:rPr>
      </w:pPr>
      <w:r w:rsidRPr="00B30283">
        <w:rPr>
          <w:b/>
          <w:sz w:val="24"/>
          <w:szCs w:val="24"/>
        </w:rPr>
        <w:t>Principles governing scarcity allowances</w:t>
      </w:r>
    </w:p>
    <w:p w:rsidR="00AF4A93" w:rsidRPr="00B30283" w:rsidRDefault="00AF4A93" w:rsidP="00870C7B">
      <w:pPr>
        <w:spacing w:after="0"/>
      </w:pPr>
      <w:r w:rsidRPr="00B30283">
        <w:t>The following principles apply:</w:t>
      </w:r>
    </w:p>
    <w:p w:rsidR="00535C84" w:rsidRPr="00B30283" w:rsidRDefault="00535C84" w:rsidP="0018499A">
      <w:pPr>
        <w:pStyle w:val="ListParagraph"/>
        <w:numPr>
          <w:ilvl w:val="0"/>
          <w:numId w:val="14"/>
        </w:numPr>
        <w:spacing w:after="0"/>
      </w:pPr>
      <w:r w:rsidRPr="00B30283">
        <w:t>The University is committed to paying its academic staff at the 50</w:t>
      </w:r>
      <w:r w:rsidRPr="00B30283">
        <w:rPr>
          <w:vertAlign w:val="superscript"/>
        </w:rPr>
        <w:t>th</w:t>
      </w:r>
      <w:r w:rsidR="009E6810" w:rsidRPr="00B30283">
        <w:t xml:space="preserve"> percentile within the higher education sector;</w:t>
      </w:r>
    </w:p>
    <w:p w:rsidR="0018499A" w:rsidRPr="00B30283" w:rsidRDefault="0018499A" w:rsidP="0018499A">
      <w:pPr>
        <w:pStyle w:val="ListParagraph"/>
        <w:numPr>
          <w:ilvl w:val="0"/>
          <w:numId w:val="14"/>
        </w:numPr>
        <w:spacing w:after="0"/>
      </w:pPr>
      <w:r w:rsidRPr="00B30283">
        <w:t>The allowance is paid on the premise that current levels of remuneration for certain academic posts</w:t>
      </w:r>
      <w:r w:rsidR="00AF4A93" w:rsidRPr="00B30283">
        <w:t>, specifically those that are in market-related disciplines,</w:t>
      </w:r>
      <w:r w:rsidRPr="00B30283">
        <w:t xml:space="preserve"> mak</w:t>
      </w:r>
      <w:r w:rsidR="00AF4A93" w:rsidRPr="00B30283">
        <w:t>e</w:t>
      </w:r>
      <w:r w:rsidRPr="00B30283">
        <w:t xml:space="preserve"> it particularly difficult to attract and retain these staff. </w:t>
      </w:r>
      <w:r w:rsidR="009E6810" w:rsidRPr="00B30283">
        <w:t xml:space="preserve">This is experienced within the entire higher education sector and is not specific to Rhodes University. The institution may however find the attraction of staff from market-related disciplines more difficult because of our geographic location. </w:t>
      </w:r>
      <w:r w:rsidRPr="00B30283">
        <w:t>As such this poses a risk for the viability of the institution and needs to be addressed;</w:t>
      </w:r>
    </w:p>
    <w:p w:rsidR="0018499A" w:rsidRPr="00B30283" w:rsidRDefault="0018499A" w:rsidP="0018499A">
      <w:pPr>
        <w:pStyle w:val="ListParagraph"/>
        <w:numPr>
          <w:ilvl w:val="0"/>
          <w:numId w:val="14"/>
        </w:numPr>
        <w:spacing w:after="0"/>
      </w:pPr>
      <w:r w:rsidRPr="00B30283">
        <w:t>Premiums paid on certain jobs in the Higher Education sector</w:t>
      </w:r>
      <w:r w:rsidR="00AF4A93" w:rsidRPr="00B30283">
        <w:t xml:space="preserve"> because of the scarcity of skills</w:t>
      </w:r>
      <w:r w:rsidRPr="00B30283">
        <w:t xml:space="preserve"> may change over time. Therefore, the allowances are not part of the individual’s guaranteed remuneration;</w:t>
      </w:r>
    </w:p>
    <w:p w:rsidR="005930EE" w:rsidRPr="00B30283" w:rsidRDefault="005930EE" w:rsidP="0018499A">
      <w:pPr>
        <w:pStyle w:val="ListParagraph"/>
        <w:numPr>
          <w:ilvl w:val="0"/>
          <w:numId w:val="14"/>
        </w:numPr>
      </w:pPr>
      <w:r w:rsidRPr="00B30283">
        <w:t>The review of scarcity allowances</w:t>
      </w:r>
      <w:r w:rsidR="00C00131">
        <w:t xml:space="preserve"> including which areas receive such allowances</w:t>
      </w:r>
      <w:r w:rsidRPr="00B30283">
        <w:t xml:space="preserve"> will take place every two years. Where the remuneration data shows that the premiums being paid in certain areas is decreasing over time, this will impact the quantum of allowances paid in the relevant area</w:t>
      </w:r>
      <w:r w:rsidR="00C00131">
        <w:t xml:space="preserve"> and therefore scarcity allowances paid to individuals will decrease</w:t>
      </w:r>
      <w:r w:rsidRPr="00B30283">
        <w:t>;</w:t>
      </w:r>
    </w:p>
    <w:p w:rsidR="0018499A" w:rsidRPr="00B30283" w:rsidRDefault="0018499A" w:rsidP="0018499A">
      <w:pPr>
        <w:pStyle w:val="ListParagraph"/>
        <w:numPr>
          <w:ilvl w:val="0"/>
          <w:numId w:val="14"/>
        </w:numPr>
      </w:pPr>
      <w:r w:rsidRPr="00B30283">
        <w:t>The scarcity allowance is paid monthly as a non-pensionable allowance, but specifically called a scarcity allowance and will be reflected as such in remuneration letters and on the person’s payslip;</w:t>
      </w:r>
    </w:p>
    <w:p w:rsidR="005930EE" w:rsidRPr="00B30283" w:rsidRDefault="005930EE" w:rsidP="005930EE">
      <w:pPr>
        <w:pStyle w:val="ListParagraph"/>
        <w:numPr>
          <w:ilvl w:val="0"/>
          <w:numId w:val="14"/>
        </w:numPr>
        <w:spacing w:after="0"/>
      </w:pPr>
      <w:r w:rsidRPr="00B30283">
        <w:t xml:space="preserve">The allowance is paid subject to affordability and a contractual obligation is only made to the staff member for one calendar year; </w:t>
      </w:r>
    </w:p>
    <w:p w:rsidR="00C00131" w:rsidRDefault="00C00131" w:rsidP="00957656">
      <w:pPr>
        <w:pStyle w:val="ListParagraph"/>
        <w:numPr>
          <w:ilvl w:val="0"/>
          <w:numId w:val="14"/>
        </w:numPr>
        <w:ind w:left="0" w:firstLine="360"/>
      </w:pPr>
      <w:r>
        <w:t>Subject to point (d) above, t</w:t>
      </w:r>
      <w:r w:rsidR="0018499A" w:rsidRPr="00B30283">
        <w:t>he allowance may be increased by the annual adjustment in January of each year</w:t>
      </w:r>
      <w:r w:rsidR="004F69C0" w:rsidRPr="00B30283">
        <w:t xml:space="preserve">; </w:t>
      </w:r>
      <w:r>
        <w:t xml:space="preserve">  </w:t>
      </w:r>
    </w:p>
    <w:p w:rsidR="00957656" w:rsidRPr="00B30283" w:rsidRDefault="004F69C0" w:rsidP="00C00131">
      <w:pPr>
        <w:pStyle w:val="ListParagraph"/>
        <w:ind w:left="360"/>
      </w:pPr>
      <w:proofErr w:type="gramStart"/>
      <w:r w:rsidRPr="00B30283">
        <w:t>and</w:t>
      </w:r>
      <w:proofErr w:type="gramEnd"/>
    </w:p>
    <w:p w:rsidR="004F69C0" w:rsidRPr="00B30283" w:rsidRDefault="004F69C0" w:rsidP="00957656">
      <w:pPr>
        <w:pStyle w:val="ListParagraph"/>
        <w:numPr>
          <w:ilvl w:val="0"/>
          <w:numId w:val="14"/>
        </w:numPr>
      </w:pPr>
      <w:r w:rsidRPr="00B30283">
        <w:t xml:space="preserve">This scarcity is to be differentiated from </w:t>
      </w:r>
      <w:r w:rsidR="00C91DCE" w:rsidRPr="00B30283">
        <w:t>a premium</w:t>
      </w:r>
      <w:r w:rsidRPr="00B30283">
        <w:t xml:space="preserve"> which </w:t>
      </w:r>
      <w:r w:rsidR="00C91DCE" w:rsidRPr="00B30283">
        <w:t>is paid</w:t>
      </w:r>
      <w:r w:rsidRPr="00B30283">
        <w:t xml:space="preserve"> on the basis of attracting equity candidates. </w:t>
      </w:r>
      <w:r w:rsidR="00957656" w:rsidRPr="00B30283">
        <w:t>An equity candidate in a scarce skill area could potentially earn both the premium and the scarcity allowance should this be necessary in terms of external equity.</w:t>
      </w:r>
    </w:p>
    <w:p w:rsidR="00A5673A" w:rsidRPr="00B30283" w:rsidRDefault="00A5673A" w:rsidP="00613236">
      <w:pPr>
        <w:pStyle w:val="ListParagraph"/>
        <w:tabs>
          <w:tab w:val="left" w:pos="2220"/>
        </w:tabs>
        <w:ind w:left="0"/>
      </w:pPr>
    </w:p>
    <w:p w:rsidR="00CE01F9" w:rsidRPr="00B30283" w:rsidRDefault="00CE01F9" w:rsidP="00870C7B">
      <w:pPr>
        <w:pStyle w:val="ListParagraph"/>
        <w:numPr>
          <w:ilvl w:val="0"/>
          <w:numId w:val="12"/>
        </w:numPr>
        <w:tabs>
          <w:tab w:val="left" w:pos="2220"/>
        </w:tabs>
        <w:spacing w:after="0"/>
        <w:rPr>
          <w:b/>
          <w:sz w:val="24"/>
          <w:szCs w:val="24"/>
        </w:rPr>
      </w:pPr>
      <w:r w:rsidRPr="00B30283">
        <w:rPr>
          <w:b/>
          <w:sz w:val="24"/>
          <w:szCs w:val="24"/>
        </w:rPr>
        <w:t>Process</w:t>
      </w:r>
      <w:r w:rsidR="005930EE" w:rsidRPr="00B30283">
        <w:rPr>
          <w:b/>
          <w:sz w:val="24"/>
          <w:szCs w:val="24"/>
        </w:rPr>
        <w:t xml:space="preserve"> of determining the allowance</w:t>
      </w:r>
    </w:p>
    <w:p w:rsidR="00870C7B" w:rsidRPr="00B30283" w:rsidRDefault="00870C7B" w:rsidP="00870C7B">
      <w:pPr>
        <w:tabs>
          <w:tab w:val="left" w:pos="2220"/>
        </w:tabs>
        <w:spacing w:after="0"/>
        <w:ind w:left="360"/>
        <w:rPr>
          <w:sz w:val="24"/>
          <w:szCs w:val="24"/>
        </w:rPr>
      </w:pPr>
      <w:r w:rsidRPr="00B30283">
        <w:rPr>
          <w:sz w:val="24"/>
          <w:szCs w:val="24"/>
        </w:rPr>
        <w:t>In the process of determining the scarcity allowances, attempts have been made to balance internal (fairness amongst the staff receiving such allowances) and external equity (providing competitive remuneration in relation to what other HE institutions are paying).</w:t>
      </w:r>
    </w:p>
    <w:p w:rsidR="005930EE" w:rsidRPr="00B30283" w:rsidRDefault="005930EE" w:rsidP="00870C7B">
      <w:pPr>
        <w:tabs>
          <w:tab w:val="left" w:pos="2220"/>
        </w:tabs>
        <w:spacing w:after="0"/>
        <w:ind w:left="360"/>
        <w:rPr>
          <w:b/>
          <w:sz w:val="24"/>
          <w:szCs w:val="24"/>
        </w:rPr>
      </w:pPr>
    </w:p>
    <w:p w:rsidR="00A5673A" w:rsidRPr="00B30283" w:rsidRDefault="00A5673A" w:rsidP="00870C7B">
      <w:pPr>
        <w:tabs>
          <w:tab w:val="left" w:pos="2220"/>
        </w:tabs>
        <w:spacing w:after="0"/>
        <w:ind w:left="360"/>
        <w:rPr>
          <w:b/>
          <w:sz w:val="24"/>
          <w:szCs w:val="24"/>
        </w:rPr>
      </w:pPr>
    </w:p>
    <w:p w:rsidR="00A5673A" w:rsidRPr="00B30283" w:rsidRDefault="00A5673A" w:rsidP="00870C7B">
      <w:pPr>
        <w:tabs>
          <w:tab w:val="left" w:pos="2220"/>
        </w:tabs>
        <w:spacing w:after="0"/>
        <w:ind w:left="360"/>
        <w:rPr>
          <w:b/>
          <w:sz w:val="24"/>
          <w:szCs w:val="24"/>
        </w:rPr>
      </w:pPr>
    </w:p>
    <w:p w:rsidR="00870C7B" w:rsidRPr="00B30283" w:rsidRDefault="00870C7B" w:rsidP="00870C7B">
      <w:pPr>
        <w:tabs>
          <w:tab w:val="left" w:pos="2220"/>
        </w:tabs>
        <w:spacing w:after="0"/>
        <w:ind w:left="360"/>
        <w:rPr>
          <w:sz w:val="24"/>
          <w:szCs w:val="24"/>
        </w:rPr>
      </w:pPr>
      <w:r w:rsidRPr="00B30283">
        <w:rPr>
          <w:sz w:val="24"/>
          <w:szCs w:val="24"/>
        </w:rPr>
        <w:t>The process was as follows:</w:t>
      </w:r>
    </w:p>
    <w:p w:rsidR="0022606F" w:rsidRPr="00B30283" w:rsidRDefault="00FD694F" w:rsidP="0022606F">
      <w:pPr>
        <w:pStyle w:val="ListParagraph"/>
        <w:numPr>
          <w:ilvl w:val="0"/>
          <w:numId w:val="13"/>
        </w:numPr>
      </w:pPr>
      <w:r w:rsidRPr="00B30283">
        <w:rPr>
          <w:i/>
        </w:rPr>
        <w:t xml:space="preserve">In determining which </w:t>
      </w:r>
      <w:r w:rsidR="00674958" w:rsidRPr="00B30283">
        <w:rPr>
          <w:i/>
        </w:rPr>
        <w:t>disciplinary areas</w:t>
      </w:r>
      <w:r w:rsidRPr="00B30283">
        <w:rPr>
          <w:i/>
        </w:rPr>
        <w:t xml:space="preserve"> would be el</w:t>
      </w:r>
      <w:r w:rsidR="00991F11" w:rsidRPr="00B30283">
        <w:rPr>
          <w:i/>
        </w:rPr>
        <w:t>igible for scarcity allowances</w:t>
      </w:r>
      <w:r w:rsidR="00991F11" w:rsidRPr="00B30283">
        <w:t>,  s</w:t>
      </w:r>
      <w:r w:rsidR="00903FFE" w:rsidRPr="00B30283">
        <w:t>even</w:t>
      </w:r>
      <w:r w:rsidR="0022606F" w:rsidRPr="00B30283">
        <w:t xml:space="preserve"> </w:t>
      </w:r>
      <w:r w:rsidR="00991F11" w:rsidRPr="00B30283">
        <w:t xml:space="preserve">potential </w:t>
      </w:r>
      <w:r w:rsidR="0022606F" w:rsidRPr="00B30283">
        <w:t xml:space="preserve">sources of information </w:t>
      </w:r>
      <w:r w:rsidR="00991F11" w:rsidRPr="00B30283">
        <w:t>w</w:t>
      </w:r>
      <w:r w:rsidRPr="00B30283">
        <w:t>ere used</w:t>
      </w:r>
      <w:r w:rsidR="0022606F" w:rsidRPr="00B30283">
        <w:t xml:space="preserve">: </w:t>
      </w:r>
    </w:p>
    <w:p w:rsidR="00991F11" w:rsidRPr="00B30283" w:rsidRDefault="00991F11" w:rsidP="00991F11">
      <w:pPr>
        <w:pStyle w:val="ListParagraph"/>
        <w:numPr>
          <w:ilvl w:val="1"/>
          <w:numId w:val="13"/>
        </w:numPr>
      </w:pPr>
      <w:r w:rsidRPr="00B30283">
        <w:t>Department of Labour listing of scarce skills;</w:t>
      </w:r>
    </w:p>
    <w:p w:rsidR="00FD694F" w:rsidRPr="00B30283" w:rsidRDefault="005A1C77" w:rsidP="00991F11">
      <w:pPr>
        <w:pStyle w:val="ListParagraph"/>
        <w:numPr>
          <w:ilvl w:val="1"/>
          <w:numId w:val="13"/>
        </w:numPr>
      </w:pPr>
      <w:r w:rsidRPr="00B30283">
        <w:t xml:space="preserve">Remchannel </w:t>
      </w:r>
      <w:r w:rsidR="00456745" w:rsidRPr="00B30283">
        <w:t xml:space="preserve">remuneration survey  data for June 2011 and then again for October 2011 including </w:t>
      </w:r>
      <w:r w:rsidR="00FD694F" w:rsidRPr="00B30283">
        <w:t>the payment of scarcity allowances</w:t>
      </w:r>
      <w:r w:rsidR="006755CC" w:rsidRPr="00B30283">
        <w:rPr>
          <w:rStyle w:val="FootnoteReference"/>
        </w:rPr>
        <w:footnoteReference w:id="1"/>
      </w:r>
      <w:r w:rsidR="00FD694F" w:rsidRPr="00B30283">
        <w:t xml:space="preserve"> for various disciplines;</w:t>
      </w:r>
    </w:p>
    <w:p w:rsidR="00FD694F" w:rsidRPr="00B30283" w:rsidRDefault="00FD694F" w:rsidP="00991F11">
      <w:pPr>
        <w:pStyle w:val="ListParagraph"/>
        <w:numPr>
          <w:ilvl w:val="1"/>
          <w:numId w:val="13"/>
        </w:numPr>
      </w:pPr>
      <w:r w:rsidRPr="00B30283">
        <w:t>the comparative ratio</w:t>
      </w:r>
      <w:r w:rsidR="00DA1D9D" w:rsidRPr="00B30283">
        <w:rPr>
          <w:rStyle w:val="FootnoteReference"/>
        </w:rPr>
        <w:footnoteReference w:id="2"/>
      </w:r>
      <w:r w:rsidRPr="00B30283">
        <w:t xml:space="preserve"> of basic salary for the various disciplines to the average basic salary for that level of appointment;</w:t>
      </w:r>
    </w:p>
    <w:p w:rsidR="0022606F" w:rsidRPr="00B30283" w:rsidRDefault="00FD694F" w:rsidP="00991F11">
      <w:pPr>
        <w:pStyle w:val="ListParagraph"/>
        <w:numPr>
          <w:ilvl w:val="1"/>
          <w:numId w:val="13"/>
        </w:numPr>
      </w:pPr>
      <w:r w:rsidRPr="00B30283">
        <w:t>the comparative ratio of guaranteed package</w:t>
      </w:r>
      <w:r w:rsidR="006755CC" w:rsidRPr="00B30283">
        <w:rPr>
          <w:rStyle w:val="FootnoteReference"/>
        </w:rPr>
        <w:footnoteReference w:id="3"/>
      </w:r>
      <w:r w:rsidRPr="00B30283">
        <w:t xml:space="preserve"> for the various disciplines to the average </w:t>
      </w:r>
      <w:r w:rsidR="0097383C" w:rsidRPr="00B30283">
        <w:t xml:space="preserve">guaranteed package </w:t>
      </w:r>
      <w:r w:rsidR="00456745" w:rsidRPr="00B30283">
        <w:t>for that level of appointment;</w:t>
      </w:r>
    </w:p>
    <w:p w:rsidR="00456745" w:rsidRPr="00B30283" w:rsidRDefault="00456745" w:rsidP="00991F11">
      <w:pPr>
        <w:pStyle w:val="ListParagraph"/>
        <w:numPr>
          <w:ilvl w:val="1"/>
          <w:numId w:val="13"/>
        </w:numPr>
      </w:pPr>
      <w:r w:rsidRPr="00B30283">
        <w:t>Higher Education Comparative survey (May 2011) commissioned by UCT and in which RU participated allowing us to get a copy of the report. Part of this survey focused o</w:t>
      </w:r>
      <w:r w:rsidR="008E487C" w:rsidRPr="00B30283">
        <w:t>n the market premium allowances;</w:t>
      </w:r>
    </w:p>
    <w:p w:rsidR="00903FFE" w:rsidRPr="00B30283" w:rsidRDefault="00903FFE" w:rsidP="00903FFE">
      <w:pPr>
        <w:pStyle w:val="ListParagraph"/>
        <w:numPr>
          <w:ilvl w:val="1"/>
          <w:numId w:val="13"/>
        </w:numPr>
        <w:spacing w:after="0"/>
      </w:pPr>
      <w:r w:rsidRPr="00B30283">
        <w:t>identification of areas where a professional qualification and/or registration together with an academic degree is required for appointment;</w:t>
      </w:r>
    </w:p>
    <w:p w:rsidR="008E487C" w:rsidRPr="00B30283" w:rsidRDefault="008E487C" w:rsidP="00903FFE">
      <w:pPr>
        <w:pStyle w:val="ListParagraph"/>
        <w:numPr>
          <w:ilvl w:val="1"/>
          <w:numId w:val="13"/>
        </w:numPr>
        <w:spacing w:after="0"/>
      </w:pPr>
      <w:r w:rsidRPr="00B30283">
        <w:t xml:space="preserve">recruitment and selection processes at Rhodes where there have been difficulties in </w:t>
      </w:r>
      <w:r w:rsidR="009264F7" w:rsidRPr="00B30283">
        <w:t>attracting</w:t>
      </w:r>
      <w:r w:rsidRPr="00B30283">
        <w:t xml:space="preserve"> staff. </w:t>
      </w:r>
    </w:p>
    <w:p w:rsidR="00991F11" w:rsidRPr="00B30283" w:rsidRDefault="00991F11" w:rsidP="00903FFE">
      <w:pPr>
        <w:spacing w:after="0"/>
        <w:ind w:left="720"/>
      </w:pPr>
      <w:r w:rsidRPr="00B30283">
        <w:t xml:space="preserve">No one data source was used nor should be used to determine scarcity allowances. </w:t>
      </w:r>
      <w:r w:rsidR="00845060" w:rsidRPr="00B30283">
        <w:t xml:space="preserve">The remuneration data used above is not about what Rhodes University’s remuneration for academic staff. It reflects the remuneration for academics within the higher education sector as a whole. </w:t>
      </w:r>
    </w:p>
    <w:p w:rsidR="00845060" w:rsidRPr="00B30283" w:rsidRDefault="00845060" w:rsidP="00845060">
      <w:pPr>
        <w:spacing w:after="0"/>
      </w:pPr>
    </w:p>
    <w:p w:rsidR="00903FFE" w:rsidRPr="00B30283" w:rsidRDefault="00845060" w:rsidP="00845060">
      <w:pPr>
        <w:spacing w:after="0"/>
        <w:ind w:left="360"/>
      </w:pPr>
      <w:r w:rsidRPr="00B30283">
        <w:t>This information has led to the identification of new disciplinary areas over and above those for which a scarcity allowance is already paid.</w:t>
      </w:r>
      <w:r w:rsidR="00275DB5" w:rsidRPr="00B30283">
        <w:t xml:space="preserve"> These are computer science and information technology, mathematics, statistics and pharmacy. </w:t>
      </w:r>
      <w:r w:rsidRPr="00B30283">
        <w:t xml:space="preserve"> This information has been considered by the Academic Leadership Forum.</w:t>
      </w:r>
    </w:p>
    <w:p w:rsidR="00845060" w:rsidRPr="00B30283" w:rsidRDefault="00845060" w:rsidP="00845060">
      <w:pPr>
        <w:spacing w:after="0"/>
      </w:pPr>
    </w:p>
    <w:p w:rsidR="00674958" w:rsidRPr="00B30283" w:rsidRDefault="00674958" w:rsidP="0022606F">
      <w:pPr>
        <w:pStyle w:val="ListParagraph"/>
        <w:numPr>
          <w:ilvl w:val="0"/>
          <w:numId w:val="13"/>
        </w:numPr>
      </w:pPr>
      <w:r w:rsidRPr="00B30283">
        <w:rPr>
          <w:i/>
        </w:rPr>
        <w:t xml:space="preserve">Within the disciplinary areas identified, other key </w:t>
      </w:r>
      <w:r w:rsidR="00140AF5" w:rsidRPr="00B30283">
        <w:rPr>
          <w:i/>
        </w:rPr>
        <w:t>factors impacting</w:t>
      </w:r>
      <w:r w:rsidRPr="00B30283">
        <w:rPr>
          <w:i/>
        </w:rPr>
        <w:t xml:space="preserve"> on scarcity</w:t>
      </w:r>
      <w:r w:rsidR="00140AF5" w:rsidRPr="00B30283">
        <w:rPr>
          <w:i/>
        </w:rPr>
        <w:t xml:space="preserve"> were ascertained</w:t>
      </w:r>
      <w:r w:rsidRPr="00B30283">
        <w:t>. For example:</w:t>
      </w:r>
    </w:p>
    <w:p w:rsidR="00674958" w:rsidRPr="00B30283" w:rsidRDefault="00884080" w:rsidP="00903FFE">
      <w:pPr>
        <w:pStyle w:val="ListParagraph"/>
        <w:numPr>
          <w:ilvl w:val="1"/>
          <w:numId w:val="13"/>
        </w:numPr>
      </w:pPr>
      <w:r w:rsidRPr="00B30283">
        <w:t>l</w:t>
      </w:r>
      <w:r w:rsidR="00F238E5" w:rsidRPr="00B30283">
        <w:t xml:space="preserve">evel of appointment: premiums </w:t>
      </w:r>
      <w:r w:rsidR="00942982" w:rsidRPr="00B30283">
        <w:t xml:space="preserve"> and therefore scarcity allowances </w:t>
      </w:r>
      <w:r w:rsidR="00F238E5" w:rsidRPr="00B30283">
        <w:t xml:space="preserve">are not necessarily paid at </w:t>
      </w:r>
      <w:r w:rsidR="00CA4FC8" w:rsidRPr="00B30283">
        <w:t>the same rate for all levels</w:t>
      </w:r>
      <w:r w:rsidR="00F238E5" w:rsidRPr="00B30283">
        <w:t>;</w:t>
      </w:r>
    </w:p>
    <w:p w:rsidR="00942982" w:rsidRPr="00B30283" w:rsidRDefault="00942982" w:rsidP="00942982">
      <w:pPr>
        <w:pStyle w:val="ListParagraph"/>
        <w:numPr>
          <w:ilvl w:val="1"/>
          <w:numId w:val="13"/>
        </w:numPr>
      </w:pPr>
      <w:r w:rsidRPr="00B30283">
        <w:t xml:space="preserve">professional </w:t>
      </w:r>
      <w:r w:rsidR="00884080" w:rsidRPr="00B30283">
        <w:t>q</w:t>
      </w:r>
      <w:r w:rsidR="00674958" w:rsidRPr="00B30283">
        <w:t>uali</w:t>
      </w:r>
      <w:r w:rsidR="00F238E5" w:rsidRPr="00B30283">
        <w:t>fication: premiums</w:t>
      </w:r>
      <w:r w:rsidR="0008161F" w:rsidRPr="00B30283">
        <w:t xml:space="preserve"> and therefore scarcity allowances</w:t>
      </w:r>
      <w:r w:rsidR="00F238E5" w:rsidRPr="00B30283">
        <w:t xml:space="preserve"> are often linked to particular </w:t>
      </w:r>
      <w:r w:rsidRPr="00B30283">
        <w:t xml:space="preserve">professional </w:t>
      </w:r>
      <w:r w:rsidR="00F238E5" w:rsidRPr="00B30283">
        <w:t>qualifications e.g. being a Chartered Accountant.</w:t>
      </w:r>
      <w:r w:rsidRPr="00B30283">
        <w:t xml:space="preserve"> However, simply having this qualification would not necessarily result in a scarcity allowance. The allowance would only be paid where the qualification </w:t>
      </w:r>
      <w:r w:rsidR="0008161F" w:rsidRPr="00B30283">
        <w:t>is</w:t>
      </w:r>
      <w:r w:rsidRPr="00B30283">
        <w:t xml:space="preserve"> a requirement of the job;</w:t>
      </w:r>
      <w:r w:rsidR="0008161F" w:rsidRPr="00B30283">
        <w:t xml:space="preserve"> and</w:t>
      </w:r>
    </w:p>
    <w:p w:rsidR="00CA4FC8" w:rsidRPr="00B30283" w:rsidRDefault="00942982" w:rsidP="00CA4FC8">
      <w:pPr>
        <w:pStyle w:val="ListParagraph"/>
        <w:numPr>
          <w:ilvl w:val="1"/>
          <w:numId w:val="13"/>
        </w:numPr>
      </w:pPr>
      <w:r w:rsidRPr="00B30283">
        <w:t>academic qualification:</w:t>
      </w:r>
      <w:r w:rsidR="00F238E5" w:rsidRPr="00B30283">
        <w:t xml:space="preserve"> </w:t>
      </w:r>
      <w:r w:rsidR="00593140" w:rsidRPr="00B30283">
        <w:t xml:space="preserve">It was agreed that academics in the scarce skills disciplines who have </w:t>
      </w:r>
      <w:r w:rsidR="0008161F" w:rsidRPr="00B30283">
        <w:t xml:space="preserve">higher qualification e.g. Masters and </w:t>
      </w:r>
      <w:r w:rsidR="00593140" w:rsidRPr="00B30283">
        <w:t xml:space="preserve">PhDs </w:t>
      </w:r>
      <w:r w:rsidR="00593140" w:rsidRPr="00B30283">
        <w:rPr>
          <w:u w:val="single"/>
        </w:rPr>
        <w:t>and</w:t>
      </w:r>
      <w:r w:rsidR="00593140" w:rsidRPr="00B30283">
        <w:t xml:space="preserve"> who are utilising those in terms of supervising post-graduates and doing research,  need to receive a higher premium than those academics in scarce </w:t>
      </w:r>
      <w:r w:rsidRPr="00B30283">
        <w:t xml:space="preserve">disciplinary areas without </w:t>
      </w:r>
      <w:r w:rsidR="0008161F" w:rsidRPr="00B30283">
        <w:t>these degrees</w:t>
      </w:r>
      <w:r w:rsidRPr="00B30283">
        <w:t xml:space="preserve">. </w:t>
      </w:r>
    </w:p>
    <w:p w:rsidR="0008161F" w:rsidRPr="00B30283" w:rsidRDefault="0008161F" w:rsidP="0008161F">
      <w:pPr>
        <w:pStyle w:val="ListParagraph"/>
        <w:ind w:left="1440"/>
      </w:pPr>
    </w:p>
    <w:p w:rsidR="000D59DE" w:rsidRPr="00B30283" w:rsidRDefault="00BF3ECD" w:rsidP="00DF04A6">
      <w:pPr>
        <w:pStyle w:val="ListParagraph"/>
        <w:numPr>
          <w:ilvl w:val="0"/>
          <w:numId w:val="13"/>
        </w:numPr>
      </w:pPr>
      <w:r w:rsidRPr="00B30283">
        <w:t>Within the disciplinary areas identified,</w:t>
      </w:r>
      <w:r w:rsidR="00140AF5" w:rsidRPr="00B30283">
        <w:t xml:space="preserve"> a </w:t>
      </w:r>
      <w:r w:rsidR="00F03965" w:rsidRPr="00B30283">
        <w:rPr>
          <w:i/>
        </w:rPr>
        <w:t>comparative ratio</w:t>
      </w:r>
      <w:r w:rsidR="00F03965" w:rsidRPr="00B30283">
        <w:rPr>
          <w:rStyle w:val="FootnoteReference"/>
          <w:i/>
        </w:rPr>
        <w:footnoteReference w:id="4"/>
      </w:r>
      <w:r w:rsidRPr="00B30283">
        <w:rPr>
          <w:i/>
        </w:rPr>
        <w:t xml:space="preserve"> </w:t>
      </w:r>
      <w:r w:rsidR="00140AF5" w:rsidRPr="00B30283">
        <w:rPr>
          <w:i/>
        </w:rPr>
        <w:t>o</w:t>
      </w:r>
      <w:r w:rsidRPr="00B30283">
        <w:rPr>
          <w:i/>
        </w:rPr>
        <w:t>f</w:t>
      </w:r>
      <w:r w:rsidR="00140AF5" w:rsidRPr="00B30283">
        <w:rPr>
          <w:i/>
        </w:rPr>
        <w:t xml:space="preserve"> the</w:t>
      </w:r>
      <w:r w:rsidR="005D61F0" w:rsidRPr="00B30283">
        <w:rPr>
          <w:i/>
        </w:rPr>
        <w:t xml:space="preserve"> premium/</w:t>
      </w:r>
      <w:r w:rsidR="00140AF5" w:rsidRPr="00B30283">
        <w:rPr>
          <w:i/>
        </w:rPr>
        <w:t xml:space="preserve"> scarcity </w:t>
      </w:r>
      <w:r w:rsidR="005D61F0" w:rsidRPr="00B30283">
        <w:rPr>
          <w:i/>
        </w:rPr>
        <w:t>factor</w:t>
      </w:r>
      <w:r w:rsidR="00140AF5" w:rsidRPr="00B30283">
        <w:rPr>
          <w:i/>
        </w:rPr>
        <w:t xml:space="preserve"> </w:t>
      </w:r>
      <w:r w:rsidRPr="00B30283">
        <w:rPr>
          <w:i/>
        </w:rPr>
        <w:t xml:space="preserve">for the various levels of posts </w:t>
      </w:r>
      <w:r w:rsidR="00140AF5" w:rsidRPr="00B30283">
        <w:rPr>
          <w:i/>
        </w:rPr>
        <w:t xml:space="preserve">was </w:t>
      </w:r>
      <w:r w:rsidR="00DF04A6" w:rsidRPr="00B30283">
        <w:rPr>
          <w:i/>
        </w:rPr>
        <w:t>determined</w:t>
      </w:r>
      <w:r w:rsidR="00DF04A6" w:rsidRPr="00B30283">
        <w:t xml:space="preserve"> </w:t>
      </w:r>
      <w:r w:rsidRPr="00B30283">
        <w:t xml:space="preserve">by analysing </w:t>
      </w:r>
      <w:r w:rsidR="00B93DCC" w:rsidRPr="00B30283">
        <w:t>the premium</w:t>
      </w:r>
      <w:r w:rsidRPr="00B30283">
        <w:t>s/allowances</w:t>
      </w:r>
      <w:r w:rsidR="00B93DCC" w:rsidRPr="00B30283">
        <w:t xml:space="preserve"> paid in the HE sector</w:t>
      </w:r>
      <w:r w:rsidRPr="00B30283">
        <w:t xml:space="preserve">. </w:t>
      </w:r>
      <w:r w:rsidR="000D59DE" w:rsidRPr="00B30283">
        <w:t xml:space="preserve">This was to achieve external equity. </w:t>
      </w:r>
    </w:p>
    <w:p w:rsidR="000D59DE" w:rsidRPr="00B30283" w:rsidRDefault="000D59DE" w:rsidP="000D59DE">
      <w:pPr>
        <w:pStyle w:val="ListParagraph"/>
      </w:pPr>
    </w:p>
    <w:p w:rsidR="00140AF5" w:rsidRPr="00B30283" w:rsidRDefault="00BF3ECD" w:rsidP="000D59DE">
      <w:pPr>
        <w:pStyle w:val="ListParagraph"/>
      </w:pPr>
      <w:r w:rsidRPr="00B30283">
        <w:lastRenderedPageBreak/>
        <w:t>On the basis of this, a comparative ratio for each disciplinary area for the various qualification levels was determined.</w:t>
      </w:r>
    </w:p>
    <w:p w:rsidR="005364FB" w:rsidRPr="00B30283" w:rsidRDefault="005364FB" w:rsidP="005364FB">
      <w:pPr>
        <w:pStyle w:val="ListParagraph"/>
      </w:pPr>
    </w:p>
    <w:p w:rsidR="005364FB" w:rsidRPr="00B30283" w:rsidRDefault="00845060" w:rsidP="005364FB">
      <w:pPr>
        <w:pStyle w:val="ListParagraph"/>
      </w:pPr>
      <w:r w:rsidRPr="00B30283">
        <w:t xml:space="preserve">Table 1 is used for illustrative purposes: it </w:t>
      </w:r>
      <w:r w:rsidR="005364FB" w:rsidRPr="00B30283">
        <w:t>shows th</w:t>
      </w:r>
      <w:r w:rsidRPr="00B30283">
        <w:t>at th</w:t>
      </w:r>
      <w:r w:rsidR="005364FB" w:rsidRPr="00B30283">
        <w:t xml:space="preserve">e lecturer </w:t>
      </w:r>
      <w:r w:rsidR="007F305F" w:rsidRPr="00B30283">
        <w:t xml:space="preserve">in discipline x </w:t>
      </w:r>
      <w:r w:rsidR="005364FB" w:rsidRPr="00B30283">
        <w:t>is receiving 6% more on basic salary than the average lecturer being paid at the 50</w:t>
      </w:r>
      <w:r w:rsidR="005364FB" w:rsidRPr="00B30283">
        <w:rPr>
          <w:vertAlign w:val="superscript"/>
        </w:rPr>
        <w:t>th</w:t>
      </w:r>
      <w:r w:rsidR="005364FB" w:rsidRPr="00B30283">
        <w:t xml:space="preserve"> percentile</w:t>
      </w:r>
      <w:r w:rsidR="00675998" w:rsidRPr="00B30283">
        <w:rPr>
          <w:rStyle w:val="FootnoteReference"/>
        </w:rPr>
        <w:footnoteReference w:id="5"/>
      </w:r>
      <w:r w:rsidR="005D61F0" w:rsidRPr="00B30283">
        <w:t>;</w:t>
      </w:r>
      <w:r w:rsidR="00675998" w:rsidRPr="00B30283">
        <w:t xml:space="preserve"> that the value of the premium being paid for those in </w:t>
      </w:r>
      <w:r w:rsidR="007F305F" w:rsidRPr="00B30283">
        <w:t xml:space="preserve">discipline x </w:t>
      </w:r>
      <w:r w:rsidR="00675998" w:rsidRPr="00B30283">
        <w:t xml:space="preserve">is R55 968 which is a premium of 154.9% above the average scarcity allowance paid to lecturers. </w:t>
      </w:r>
    </w:p>
    <w:tbl>
      <w:tblPr>
        <w:tblW w:w="7938" w:type="dxa"/>
        <w:tblInd w:w="817" w:type="dxa"/>
        <w:tblLook w:val="04A0" w:firstRow="1" w:lastRow="0" w:firstColumn="1" w:lastColumn="0" w:noHBand="0" w:noVBand="1"/>
      </w:tblPr>
      <w:tblGrid>
        <w:gridCol w:w="2123"/>
        <w:gridCol w:w="920"/>
        <w:gridCol w:w="1205"/>
        <w:gridCol w:w="1060"/>
        <w:gridCol w:w="1140"/>
        <w:gridCol w:w="1490"/>
      </w:tblGrid>
      <w:tr w:rsidR="005364FB" w:rsidRPr="00B30283" w:rsidTr="005364FB">
        <w:trPr>
          <w:trHeight w:val="525"/>
        </w:trPr>
        <w:tc>
          <w:tcPr>
            <w:tcW w:w="2123" w:type="dxa"/>
            <w:tcBorders>
              <w:top w:val="nil"/>
              <w:left w:val="nil"/>
              <w:bottom w:val="nil"/>
              <w:right w:val="nil"/>
            </w:tcBorders>
            <w:shd w:val="clear" w:color="auto" w:fill="auto"/>
            <w:noWrap/>
            <w:vAlign w:val="bottom"/>
            <w:hideMark/>
          </w:tcPr>
          <w:p w:rsidR="005364FB" w:rsidRPr="00B30283" w:rsidRDefault="00845060" w:rsidP="00756727">
            <w:pPr>
              <w:spacing w:after="0" w:line="240" w:lineRule="auto"/>
              <w:rPr>
                <w:rFonts w:eastAsia="Times New Roman" w:cs="Calibri"/>
                <w:b/>
                <w:sz w:val="24"/>
                <w:szCs w:val="24"/>
                <w:lang w:val="en-US"/>
              </w:rPr>
            </w:pPr>
            <w:r w:rsidRPr="00B30283">
              <w:rPr>
                <w:rFonts w:eastAsia="Times New Roman" w:cs="Calibri"/>
                <w:b/>
                <w:sz w:val="24"/>
                <w:szCs w:val="24"/>
                <w:lang w:val="en-US"/>
              </w:rPr>
              <w:t>TABLE 1</w:t>
            </w:r>
          </w:p>
        </w:tc>
        <w:tc>
          <w:tcPr>
            <w:tcW w:w="31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364FB" w:rsidRPr="00B30283" w:rsidRDefault="005364FB" w:rsidP="005364FB">
            <w:pPr>
              <w:spacing w:after="0" w:line="240" w:lineRule="auto"/>
              <w:rPr>
                <w:rFonts w:eastAsia="Times New Roman" w:cs="Calibri"/>
                <w:b/>
                <w:bCs/>
                <w:sz w:val="20"/>
                <w:szCs w:val="20"/>
                <w:lang w:val="en-US"/>
              </w:rPr>
            </w:pPr>
            <w:r w:rsidRPr="00B30283">
              <w:rPr>
                <w:rFonts w:eastAsia="Times New Roman" w:cs="Calibri"/>
                <w:b/>
                <w:bCs/>
                <w:sz w:val="20"/>
                <w:szCs w:val="20"/>
                <w:lang w:val="en-US"/>
              </w:rPr>
              <w:t>Comparative ratios of disciplinary areas relative to averages paid at the same level of post</w:t>
            </w:r>
          </w:p>
        </w:tc>
        <w:tc>
          <w:tcPr>
            <w:tcW w:w="1140" w:type="dxa"/>
            <w:tcBorders>
              <w:top w:val="nil"/>
              <w:left w:val="nil"/>
              <w:bottom w:val="nil"/>
              <w:right w:val="nil"/>
            </w:tcBorders>
            <w:shd w:val="clear" w:color="auto" w:fill="auto"/>
            <w:noWrap/>
            <w:vAlign w:val="bottom"/>
            <w:hideMark/>
          </w:tcPr>
          <w:p w:rsidR="005364FB" w:rsidRPr="00B30283" w:rsidRDefault="005364FB" w:rsidP="00756727">
            <w:pPr>
              <w:spacing w:after="0" w:line="240" w:lineRule="auto"/>
              <w:rPr>
                <w:rFonts w:eastAsia="Times New Roman" w:cs="Calibri"/>
                <w:sz w:val="20"/>
                <w:szCs w:val="20"/>
                <w:lang w:val="en-US"/>
              </w:rPr>
            </w:pPr>
          </w:p>
        </w:tc>
        <w:tc>
          <w:tcPr>
            <w:tcW w:w="1490" w:type="dxa"/>
            <w:tcBorders>
              <w:top w:val="nil"/>
              <w:left w:val="nil"/>
              <w:bottom w:val="nil"/>
              <w:right w:val="nil"/>
            </w:tcBorders>
            <w:shd w:val="clear" w:color="auto" w:fill="auto"/>
            <w:noWrap/>
            <w:vAlign w:val="bottom"/>
            <w:hideMark/>
          </w:tcPr>
          <w:p w:rsidR="005364FB" w:rsidRPr="00B30283" w:rsidRDefault="005364FB" w:rsidP="00756727">
            <w:pPr>
              <w:spacing w:after="0" w:line="240" w:lineRule="auto"/>
              <w:rPr>
                <w:rFonts w:eastAsia="Times New Roman" w:cs="Calibri"/>
                <w:sz w:val="20"/>
                <w:szCs w:val="20"/>
                <w:lang w:val="en-US"/>
              </w:rPr>
            </w:pPr>
          </w:p>
        </w:tc>
      </w:tr>
      <w:tr w:rsidR="005364FB" w:rsidRPr="00B30283" w:rsidTr="005364FB">
        <w:trPr>
          <w:trHeight w:val="416"/>
        </w:trPr>
        <w:tc>
          <w:tcPr>
            <w:tcW w:w="2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4FB" w:rsidRPr="00B30283" w:rsidRDefault="005364FB" w:rsidP="00756727">
            <w:pPr>
              <w:spacing w:after="0" w:line="240" w:lineRule="auto"/>
              <w:rPr>
                <w:rFonts w:eastAsia="Times New Roman" w:cs="Calibri"/>
                <w:b/>
                <w:bCs/>
                <w:sz w:val="20"/>
                <w:szCs w:val="20"/>
                <w:lang w:val="en-US"/>
              </w:rPr>
            </w:pPr>
            <w:r w:rsidRPr="00B30283">
              <w:rPr>
                <w:rFonts w:eastAsia="Times New Roman" w:cs="Calibri"/>
                <w:b/>
                <w:bCs/>
                <w:sz w:val="20"/>
                <w:szCs w:val="20"/>
                <w:lang w:val="en-US"/>
              </w:rPr>
              <w:t>Lecturer</w:t>
            </w:r>
          </w:p>
        </w:tc>
        <w:tc>
          <w:tcPr>
            <w:tcW w:w="920" w:type="dxa"/>
            <w:tcBorders>
              <w:top w:val="nil"/>
              <w:left w:val="nil"/>
              <w:bottom w:val="single" w:sz="4" w:space="0" w:color="auto"/>
              <w:right w:val="single" w:sz="4" w:space="0" w:color="auto"/>
            </w:tcBorders>
            <w:shd w:val="clear" w:color="auto" w:fill="auto"/>
            <w:vAlign w:val="bottom"/>
            <w:hideMark/>
          </w:tcPr>
          <w:p w:rsidR="005364FB" w:rsidRPr="00B30283" w:rsidRDefault="005364FB" w:rsidP="00756727">
            <w:pPr>
              <w:spacing w:after="0" w:line="240" w:lineRule="auto"/>
              <w:rPr>
                <w:rFonts w:eastAsia="Times New Roman" w:cs="Calibri"/>
                <w:b/>
                <w:bCs/>
                <w:sz w:val="20"/>
                <w:szCs w:val="20"/>
                <w:lang w:val="en-US"/>
              </w:rPr>
            </w:pPr>
            <w:r w:rsidRPr="00B30283">
              <w:rPr>
                <w:rFonts w:eastAsia="Times New Roman" w:cs="Calibri"/>
                <w:b/>
                <w:bCs/>
                <w:sz w:val="20"/>
                <w:szCs w:val="20"/>
                <w:lang w:val="en-US"/>
              </w:rPr>
              <w:t>Basic</w:t>
            </w:r>
          </w:p>
        </w:tc>
        <w:tc>
          <w:tcPr>
            <w:tcW w:w="1205" w:type="dxa"/>
            <w:tcBorders>
              <w:top w:val="nil"/>
              <w:left w:val="nil"/>
              <w:bottom w:val="single" w:sz="4" w:space="0" w:color="auto"/>
              <w:right w:val="single" w:sz="4" w:space="0" w:color="auto"/>
            </w:tcBorders>
            <w:shd w:val="clear" w:color="auto" w:fill="auto"/>
            <w:vAlign w:val="bottom"/>
            <w:hideMark/>
          </w:tcPr>
          <w:p w:rsidR="005364FB" w:rsidRPr="00B30283" w:rsidRDefault="005364FB" w:rsidP="00756727">
            <w:pPr>
              <w:spacing w:after="0" w:line="240" w:lineRule="auto"/>
              <w:rPr>
                <w:rFonts w:eastAsia="Times New Roman" w:cs="Calibri"/>
                <w:b/>
                <w:bCs/>
                <w:sz w:val="20"/>
                <w:szCs w:val="20"/>
                <w:lang w:val="en-US"/>
              </w:rPr>
            </w:pPr>
            <w:r w:rsidRPr="00B30283">
              <w:rPr>
                <w:rFonts w:eastAsia="Times New Roman" w:cs="Calibri"/>
                <w:b/>
                <w:bCs/>
                <w:sz w:val="20"/>
                <w:szCs w:val="20"/>
                <w:lang w:val="en-US"/>
              </w:rPr>
              <w:t>Guaranteed package</w:t>
            </w:r>
          </w:p>
        </w:tc>
        <w:tc>
          <w:tcPr>
            <w:tcW w:w="1060" w:type="dxa"/>
            <w:tcBorders>
              <w:top w:val="nil"/>
              <w:left w:val="nil"/>
              <w:bottom w:val="single" w:sz="4" w:space="0" w:color="auto"/>
              <w:right w:val="single" w:sz="4" w:space="0" w:color="auto"/>
            </w:tcBorders>
            <w:shd w:val="clear" w:color="auto" w:fill="auto"/>
            <w:vAlign w:val="bottom"/>
            <w:hideMark/>
          </w:tcPr>
          <w:p w:rsidR="005364FB" w:rsidRPr="00B30283" w:rsidRDefault="00675998" w:rsidP="00756727">
            <w:pPr>
              <w:spacing w:after="0" w:line="240" w:lineRule="auto"/>
              <w:rPr>
                <w:rFonts w:eastAsia="Times New Roman" w:cs="Calibri"/>
                <w:b/>
                <w:bCs/>
                <w:sz w:val="20"/>
                <w:szCs w:val="20"/>
                <w:lang w:val="en-US"/>
              </w:rPr>
            </w:pPr>
            <w:r w:rsidRPr="00B30283">
              <w:rPr>
                <w:rFonts w:eastAsia="Times New Roman" w:cs="Calibri"/>
                <w:b/>
                <w:bCs/>
                <w:sz w:val="20"/>
                <w:szCs w:val="20"/>
                <w:lang w:val="en-US"/>
              </w:rPr>
              <w:t xml:space="preserve">Scarcity allowance </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5364FB" w:rsidRPr="00B30283" w:rsidRDefault="005364FB" w:rsidP="00675998">
            <w:pPr>
              <w:spacing w:after="0" w:line="240" w:lineRule="auto"/>
              <w:rPr>
                <w:rFonts w:eastAsia="Times New Roman" w:cs="Calibri"/>
                <w:b/>
                <w:bCs/>
                <w:sz w:val="20"/>
                <w:szCs w:val="20"/>
                <w:lang w:val="en-US"/>
              </w:rPr>
            </w:pPr>
            <w:r w:rsidRPr="00B30283">
              <w:rPr>
                <w:rFonts w:eastAsia="Times New Roman" w:cs="Calibri"/>
                <w:b/>
                <w:bCs/>
                <w:sz w:val="20"/>
                <w:szCs w:val="20"/>
                <w:lang w:val="en-US"/>
              </w:rPr>
              <w:t xml:space="preserve">R value of </w:t>
            </w:r>
            <w:r w:rsidR="00675998" w:rsidRPr="00B30283">
              <w:rPr>
                <w:rFonts w:eastAsia="Times New Roman" w:cs="Calibri"/>
                <w:b/>
                <w:bCs/>
                <w:sz w:val="20"/>
                <w:szCs w:val="20"/>
                <w:lang w:val="en-US"/>
              </w:rPr>
              <w:t>scarcity allowance</w:t>
            </w:r>
          </w:p>
        </w:tc>
        <w:tc>
          <w:tcPr>
            <w:tcW w:w="1490" w:type="dxa"/>
            <w:tcBorders>
              <w:top w:val="single" w:sz="4" w:space="0" w:color="auto"/>
              <w:left w:val="nil"/>
              <w:bottom w:val="single" w:sz="4" w:space="0" w:color="auto"/>
              <w:right w:val="single" w:sz="4" w:space="0" w:color="auto"/>
            </w:tcBorders>
            <w:shd w:val="clear" w:color="auto" w:fill="auto"/>
            <w:vAlign w:val="bottom"/>
            <w:hideMark/>
          </w:tcPr>
          <w:p w:rsidR="005364FB" w:rsidRPr="00B30283" w:rsidRDefault="00675998" w:rsidP="00675998">
            <w:pPr>
              <w:spacing w:after="0" w:line="240" w:lineRule="auto"/>
              <w:rPr>
                <w:rFonts w:eastAsia="Times New Roman" w:cs="Calibri"/>
                <w:b/>
                <w:bCs/>
                <w:sz w:val="20"/>
                <w:szCs w:val="20"/>
                <w:lang w:val="en-US"/>
              </w:rPr>
            </w:pPr>
            <w:r w:rsidRPr="00B30283">
              <w:rPr>
                <w:rFonts w:eastAsia="Times New Roman" w:cs="Calibri"/>
                <w:b/>
                <w:bCs/>
                <w:sz w:val="20"/>
                <w:szCs w:val="20"/>
                <w:lang w:val="en-US"/>
              </w:rPr>
              <w:t xml:space="preserve">Scarcity allowance </w:t>
            </w:r>
            <w:r w:rsidR="005364FB" w:rsidRPr="00B30283">
              <w:rPr>
                <w:rFonts w:eastAsia="Times New Roman" w:cs="Calibri"/>
                <w:b/>
                <w:bCs/>
                <w:sz w:val="20"/>
                <w:szCs w:val="20"/>
                <w:lang w:val="en-US"/>
              </w:rPr>
              <w:t>as % of basic</w:t>
            </w:r>
          </w:p>
        </w:tc>
      </w:tr>
      <w:tr w:rsidR="005364FB" w:rsidRPr="00B30283" w:rsidTr="005364FB">
        <w:trPr>
          <w:trHeight w:val="255"/>
        </w:trPr>
        <w:tc>
          <w:tcPr>
            <w:tcW w:w="2123" w:type="dxa"/>
            <w:tcBorders>
              <w:top w:val="nil"/>
              <w:left w:val="single" w:sz="4" w:space="0" w:color="auto"/>
              <w:bottom w:val="single" w:sz="4" w:space="0" w:color="auto"/>
              <w:right w:val="single" w:sz="4" w:space="0" w:color="auto"/>
            </w:tcBorders>
            <w:shd w:val="clear" w:color="auto" w:fill="auto"/>
            <w:noWrap/>
            <w:vAlign w:val="bottom"/>
            <w:hideMark/>
          </w:tcPr>
          <w:p w:rsidR="005364FB" w:rsidRPr="00B30283" w:rsidRDefault="007F305F" w:rsidP="00756727">
            <w:pPr>
              <w:spacing w:after="0" w:line="240" w:lineRule="auto"/>
              <w:rPr>
                <w:rFonts w:eastAsia="Times New Roman" w:cs="Calibri"/>
                <w:sz w:val="20"/>
                <w:szCs w:val="20"/>
                <w:lang w:val="en-US"/>
              </w:rPr>
            </w:pPr>
            <w:r w:rsidRPr="00B30283">
              <w:rPr>
                <w:rFonts w:eastAsia="Times New Roman" w:cs="Calibri"/>
                <w:sz w:val="20"/>
                <w:szCs w:val="20"/>
                <w:lang w:val="en-US"/>
              </w:rPr>
              <w:t>Discipline x</w:t>
            </w:r>
          </w:p>
        </w:tc>
        <w:tc>
          <w:tcPr>
            <w:tcW w:w="920" w:type="dxa"/>
            <w:tcBorders>
              <w:top w:val="nil"/>
              <w:left w:val="nil"/>
              <w:bottom w:val="single" w:sz="4" w:space="0" w:color="auto"/>
              <w:right w:val="single" w:sz="4" w:space="0" w:color="auto"/>
            </w:tcBorders>
            <w:shd w:val="clear" w:color="auto" w:fill="auto"/>
            <w:noWrap/>
            <w:vAlign w:val="bottom"/>
            <w:hideMark/>
          </w:tcPr>
          <w:p w:rsidR="005364FB" w:rsidRPr="00B30283" w:rsidRDefault="005364FB" w:rsidP="00756727">
            <w:pPr>
              <w:spacing w:after="0" w:line="240" w:lineRule="auto"/>
              <w:jc w:val="right"/>
              <w:rPr>
                <w:rFonts w:eastAsia="Times New Roman" w:cs="Calibri"/>
                <w:sz w:val="20"/>
                <w:szCs w:val="20"/>
                <w:lang w:val="en-US"/>
              </w:rPr>
            </w:pPr>
            <w:r w:rsidRPr="00B30283">
              <w:rPr>
                <w:rFonts w:eastAsia="Times New Roman" w:cs="Calibri"/>
                <w:sz w:val="20"/>
                <w:szCs w:val="20"/>
                <w:lang w:val="en-US"/>
              </w:rPr>
              <w:t>106.0%</w:t>
            </w:r>
          </w:p>
        </w:tc>
        <w:tc>
          <w:tcPr>
            <w:tcW w:w="1205" w:type="dxa"/>
            <w:tcBorders>
              <w:top w:val="nil"/>
              <w:left w:val="nil"/>
              <w:bottom w:val="single" w:sz="4" w:space="0" w:color="auto"/>
              <w:right w:val="single" w:sz="4" w:space="0" w:color="auto"/>
            </w:tcBorders>
            <w:shd w:val="clear" w:color="auto" w:fill="auto"/>
            <w:noWrap/>
            <w:vAlign w:val="bottom"/>
            <w:hideMark/>
          </w:tcPr>
          <w:p w:rsidR="005364FB" w:rsidRPr="00B30283" w:rsidRDefault="005364FB" w:rsidP="00756727">
            <w:pPr>
              <w:spacing w:after="0" w:line="240" w:lineRule="auto"/>
              <w:jc w:val="right"/>
              <w:rPr>
                <w:rFonts w:eastAsia="Times New Roman" w:cs="Calibri"/>
                <w:sz w:val="20"/>
                <w:szCs w:val="20"/>
                <w:lang w:val="en-US"/>
              </w:rPr>
            </w:pPr>
            <w:r w:rsidRPr="00B30283">
              <w:rPr>
                <w:rFonts w:eastAsia="Times New Roman" w:cs="Calibri"/>
                <w:sz w:val="20"/>
                <w:szCs w:val="20"/>
                <w:lang w:val="en-US"/>
              </w:rPr>
              <w:t>106.1%</w:t>
            </w:r>
          </w:p>
        </w:tc>
        <w:tc>
          <w:tcPr>
            <w:tcW w:w="1060" w:type="dxa"/>
            <w:tcBorders>
              <w:top w:val="nil"/>
              <w:left w:val="nil"/>
              <w:bottom w:val="single" w:sz="4" w:space="0" w:color="auto"/>
              <w:right w:val="single" w:sz="4" w:space="0" w:color="auto"/>
            </w:tcBorders>
            <w:shd w:val="clear" w:color="auto" w:fill="auto"/>
            <w:noWrap/>
            <w:vAlign w:val="bottom"/>
            <w:hideMark/>
          </w:tcPr>
          <w:p w:rsidR="005364FB" w:rsidRPr="00B30283" w:rsidRDefault="005364FB" w:rsidP="00756727">
            <w:pPr>
              <w:spacing w:after="0" w:line="240" w:lineRule="auto"/>
              <w:jc w:val="right"/>
              <w:rPr>
                <w:rFonts w:eastAsia="Times New Roman" w:cs="Calibri"/>
                <w:sz w:val="20"/>
                <w:szCs w:val="20"/>
                <w:lang w:val="en-US"/>
              </w:rPr>
            </w:pPr>
            <w:r w:rsidRPr="00B30283">
              <w:rPr>
                <w:rFonts w:eastAsia="Times New Roman" w:cs="Calibri"/>
                <w:sz w:val="20"/>
                <w:szCs w:val="20"/>
                <w:lang w:val="en-US"/>
              </w:rPr>
              <w:t>154.9%</w:t>
            </w:r>
          </w:p>
        </w:tc>
        <w:tc>
          <w:tcPr>
            <w:tcW w:w="1140" w:type="dxa"/>
            <w:tcBorders>
              <w:top w:val="nil"/>
              <w:left w:val="nil"/>
              <w:bottom w:val="single" w:sz="4" w:space="0" w:color="auto"/>
              <w:right w:val="single" w:sz="4" w:space="0" w:color="auto"/>
            </w:tcBorders>
            <w:shd w:val="clear" w:color="auto" w:fill="auto"/>
            <w:noWrap/>
            <w:vAlign w:val="bottom"/>
            <w:hideMark/>
          </w:tcPr>
          <w:p w:rsidR="005364FB" w:rsidRPr="00B30283" w:rsidRDefault="005364FB" w:rsidP="00756727">
            <w:pPr>
              <w:spacing w:after="0" w:line="240" w:lineRule="auto"/>
              <w:jc w:val="right"/>
              <w:rPr>
                <w:rFonts w:eastAsia="Times New Roman" w:cs="Calibri"/>
                <w:sz w:val="20"/>
                <w:szCs w:val="20"/>
                <w:lang w:val="en-US"/>
              </w:rPr>
            </w:pPr>
            <w:r w:rsidRPr="00B30283">
              <w:rPr>
                <w:rFonts w:eastAsia="Times New Roman" w:cs="Calibri"/>
                <w:sz w:val="20"/>
                <w:szCs w:val="20"/>
                <w:lang w:val="en-US"/>
              </w:rPr>
              <w:t>55,968</w:t>
            </w:r>
          </w:p>
        </w:tc>
        <w:tc>
          <w:tcPr>
            <w:tcW w:w="1490" w:type="dxa"/>
            <w:tcBorders>
              <w:top w:val="nil"/>
              <w:left w:val="nil"/>
              <w:bottom w:val="single" w:sz="4" w:space="0" w:color="auto"/>
              <w:right w:val="single" w:sz="4" w:space="0" w:color="auto"/>
            </w:tcBorders>
            <w:shd w:val="clear" w:color="auto" w:fill="auto"/>
            <w:noWrap/>
            <w:vAlign w:val="bottom"/>
            <w:hideMark/>
          </w:tcPr>
          <w:p w:rsidR="005364FB" w:rsidRPr="00B30283" w:rsidRDefault="005364FB" w:rsidP="00756727">
            <w:pPr>
              <w:spacing w:after="0" w:line="240" w:lineRule="auto"/>
              <w:jc w:val="right"/>
              <w:rPr>
                <w:rFonts w:eastAsia="Times New Roman" w:cs="Calibri"/>
                <w:sz w:val="20"/>
                <w:szCs w:val="20"/>
                <w:lang w:val="en-US"/>
              </w:rPr>
            </w:pPr>
            <w:r w:rsidRPr="00B30283">
              <w:rPr>
                <w:rFonts w:eastAsia="Times New Roman" w:cs="Calibri"/>
                <w:sz w:val="20"/>
                <w:szCs w:val="20"/>
                <w:lang w:val="en-US"/>
              </w:rPr>
              <w:t>18.5%</w:t>
            </w:r>
          </w:p>
        </w:tc>
      </w:tr>
    </w:tbl>
    <w:p w:rsidR="00BF3ECD" w:rsidRPr="00B30283" w:rsidRDefault="00BF3ECD" w:rsidP="00BF3ECD">
      <w:pPr>
        <w:pStyle w:val="ListParagraph"/>
      </w:pPr>
    </w:p>
    <w:p w:rsidR="005D61F0" w:rsidRPr="00B30283" w:rsidRDefault="005D61F0" w:rsidP="00BF3ECD">
      <w:pPr>
        <w:pStyle w:val="ListParagraph"/>
      </w:pPr>
      <w:r w:rsidRPr="00B30283">
        <w:t>This in turn is used to recommend a comparative ratio on basic</w:t>
      </w:r>
      <w:r w:rsidR="00B62940" w:rsidRPr="00B30283">
        <w:t xml:space="preserve"> salary</w:t>
      </w:r>
      <w:r w:rsidRPr="00B30283">
        <w:t xml:space="preserve"> of</w:t>
      </w:r>
      <w:r w:rsidR="00B62940" w:rsidRPr="00B30283">
        <w:t xml:space="preserve"> 115% for the lecturer that just has a </w:t>
      </w:r>
      <w:r w:rsidR="00845060" w:rsidRPr="00B30283">
        <w:t>particular professional qualification</w:t>
      </w:r>
      <w:r w:rsidR="00B62940" w:rsidRPr="00B30283">
        <w:t xml:space="preserve">, 125% to the lecturer that has a </w:t>
      </w:r>
      <w:r w:rsidR="00845060" w:rsidRPr="00B30283">
        <w:t xml:space="preserve">professional qualification </w:t>
      </w:r>
      <w:r w:rsidR="00B62940" w:rsidRPr="00B30283">
        <w:t xml:space="preserve">and Master’s degree and 135% to the lecturer that has a </w:t>
      </w:r>
      <w:r w:rsidR="00845060" w:rsidRPr="00B30283">
        <w:t>professional qualification</w:t>
      </w:r>
      <w:r w:rsidR="00B62940" w:rsidRPr="00B30283">
        <w:t xml:space="preserve"> and PhD</w:t>
      </w:r>
      <w:r w:rsidRPr="00B30283">
        <w:t>:</w:t>
      </w:r>
    </w:p>
    <w:tbl>
      <w:tblPr>
        <w:tblW w:w="8363" w:type="dxa"/>
        <w:tblInd w:w="817" w:type="dxa"/>
        <w:tblLook w:val="04A0" w:firstRow="1" w:lastRow="0" w:firstColumn="1" w:lastColumn="0" w:noHBand="0" w:noVBand="1"/>
      </w:tblPr>
      <w:tblGrid>
        <w:gridCol w:w="6237"/>
        <w:gridCol w:w="2126"/>
      </w:tblGrid>
      <w:tr w:rsidR="00845060" w:rsidRPr="00B30283" w:rsidTr="00A5673A">
        <w:trPr>
          <w:trHeight w:val="255"/>
        </w:trPr>
        <w:tc>
          <w:tcPr>
            <w:tcW w:w="8363" w:type="dxa"/>
            <w:gridSpan w:val="2"/>
            <w:tcBorders>
              <w:bottom w:val="single" w:sz="4" w:space="0" w:color="auto"/>
            </w:tcBorders>
            <w:shd w:val="clear" w:color="auto" w:fill="auto"/>
            <w:noWrap/>
            <w:vAlign w:val="bottom"/>
          </w:tcPr>
          <w:p w:rsidR="00845060" w:rsidRPr="00B30283" w:rsidRDefault="00845060" w:rsidP="00B62940">
            <w:pPr>
              <w:spacing w:after="0" w:line="240" w:lineRule="auto"/>
              <w:rPr>
                <w:rFonts w:eastAsia="Times New Roman" w:cs="Calibri"/>
                <w:b/>
                <w:bCs/>
                <w:sz w:val="24"/>
                <w:szCs w:val="24"/>
                <w:lang w:val="en-US"/>
              </w:rPr>
            </w:pPr>
            <w:r w:rsidRPr="00B30283">
              <w:rPr>
                <w:rFonts w:asciiTheme="minorHAnsi" w:eastAsia="Times New Roman" w:hAnsiTheme="minorHAnsi" w:cstheme="minorHAnsi"/>
                <w:b/>
                <w:sz w:val="24"/>
                <w:szCs w:val="24"/>
                <w:lang w:val="en-US"/>
              </w:rPr>
              <w:t>TABLE 2</w:t>
            </w:r>
          </w:p>
        </w:tc>
      </w:tr>
      <w:tr w:rsidR="005D61F0" w:rsidRPr="00B30283" w:rsidTr="00A5673A">
        <w:trPr>
          <w:trHeight w:val="255"/>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1F0" w:rsidRPr="00B30283" w:rsidRDefault="005D61F0" w:rsidP="00756727">
            <w:pPr>
              <w:spacing w:after="0" w:line="240" w:lineRule="auto"/>
              <w:rPr>
                <w:rFonts w:asciiTheme="minorHAnsi" w:eastAsia="Times New Roman" w:hAnsiTheme="minorHAnsi" w:cstheme="minorHAnsi"/>
                <w:b/>
                <w:sz w:val="20"/>
                <w:szCs w:val="20"/>
                <w:lang w:val="en-US"/>
              </w:rPr>
            </w:pPr>
            <w:r w:rsidRPr="00B30283">
              <w:rPr>
                <w:rFonts w:asciiTheme="minorHAnsi" w:eastAsia="Times New Roman" w:hAnsiTheme="minorHAnsi" w:cstheme="minorHAnsi"/>
                <w:b/>
                <w:sz w:val="20"/>
                <w:szCs w:val="20"/>
                <w:lang w:val="en-US"/>
              </w:rPr>
              <w:t> </w:t>
            </w:r>
            <w:r w:rsidR="00B62940" w:rsidRPr="00B30283">
              <w:rPr>
                <w:rFonts w:asciiTheme="minorHAnsi" w:eastAsia="Times New Roman" w:hAnsiTheme="minorHAnsi" w:cstheme="minorHAnsi"/>
                <w:b/>
                <w:sz w:val="20"/>
                <w:szCs w:val="20"/>
                <w:lang w:val="en-US"/>
              </w:rPr>
              <w:t>LECTURER</w:t>
            </w:r>
            <w:r w:rsidR="007F305F" w:rsidRPr="00B30283">
              <w:rPr>
                <w:rFonts w:asciiTheme="minorHAnsi" w:eastAsia="Times New Roman" w:hAnsiTheme="minorHAnsi" w:cstheme="minorHAnsi"/>
                <w:b/>
                <w:sz w:val="20"/>
                <w:szCs w:val="20"/>
                <w:lang w:val="en-US"/>
              </w:rPr>
              <w:t xml:space="preserve"> in discipline x</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D61F0" w:rsidRPr="00B30283" w:rsidRDefault="00B62940" w:rsidP="00B62940">
            <w:pPr>
              <w:spacing w:after="0" w:line="240" w:lineRule="auto"/>
              <w:rPr>
                <w:rFonts w:eastAsia="Times New Roman" w:cs="Calibri"/>
                <w:b/>
                <w:bCs/>
                <w:sz w:val="20"/>
                <w:szCs w:val="20"/>
                <w:lang w:val="en-US"/>
              </w:rPr>
            </w:pPr>
            <w:r w:rsidRPr="00B30283">
              <w:rPr>
                <w:rFonts w:eastAsia="Times New Roman" w:cs="Calibri"/>
                <w:b/>
                <w:bCs/>
                <w:sz w:val="20"/>
                <w:szCs w:val="20"/>
                <w:lang w:val="en-US"/>
              </w:rPr>
              <w:t>Comparative ratio on basic</w:t>
            </w:r>
            <w:r w:rsidR="00275DB5" w:rsidRPr="00B30283">
              <w:rPr>
                <w:rFonts w:eastAsia="Times New Roman" w:cs="Calibri"/>
                <w:b/>
                <w:bCs/>
                <w:sz w:val="20"/>
                <w:szCs w:val="20"/>
                <w:lang w:val="en-US"/>
              </w:rPr>
              <w:t xml:space="preserve"> salary</w:t>
            </w:r>
          </w:p>
        </w:tc>
      </w:tr>
      <w:tr w:rsidR="005D61F0" w:rsidRPr="00B30283" w:rsidTr="00A5673A">
        <w:trPr>
          <w:trHeight w:val="255"/>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5D61F0" w:rsidRPr="00B30283" w:rsidRDefault="00845060" w:rsidP="00756727">
            <w:pPr>
              <w:spacing w:after="0" w:line="240" w:lineRule="auto"/>
              <w:rPr>
                <w:rFonts w:eastAsia="Times New Roman" w:cs="Calibri"/>
                <w:bCs/>
                <w:sz w:val="20"/>
                <w:szCs w:val="20"/>
                <w:lang w:val="en-US"/>
              </w:rPr>
            </w:pPr>
            <w:r w:rsidRPr="00B30283">
              <w:rPr>
                <w:rFonts w:eastAsia="Times New Roman" w:cs="Calibri"/>
                <w:bCs/>
                <w:sz w:val="20"/>
                <w:szCs w:val="20"/>
                <w:lang w:val="en-US"/>
              </w:rPr>
              <w:t>Professional qualification where this is required for the job</w:t>
            </w:r>
          </w:p>
        </w:tc>
        <w:tc>
          <w:tcPr>
            <w:tcW w:w="2126" w:type="dxa"/>
            <w:tcBorders>
              <w:top w:val="nil"/>
              <w:left w:val="nil"/>
              <w:bottom w:val="single" w:sz="4" w:space="0" w:color="auto"/>
              <w:right w:val="single" w:sz="4" w:space="0" w:color="auto"/>
            </w:tcBorders>
            <w:shd w:val="clear" w:color="auto" w:fill="auto"/>
            <w:noWrap/>
            <w:vAlign w:val="bottom"/>
            <w:hideMark/>
          </w:tcPr>
          <w:p w:rsidR="005D61F0" w:rsidRPr="00B30283" w:rsidRDefault="005D61F0" w:rsidP="00756727">
            <w:pPr>
              <w:spacing w:after="0" w:line="240" w:lineRule="auto"/>
              <w:jc w:val="right"/>
              <w:rPr>
                <w:rFonts w:eastAsia="Times New Roman" w:cs="Calibri"/>
                <w:sz w:val="20"/>
                <w:szCs w:val="20"/>
                <w:lang w:val="en-US"/>
              </w:rPr>
            </w:pPr>
            <w:r w:rsidRPr="00B30283">
              <w:rPr>
                <w:rFonts w:eastAsia="Times New Roman" w:cs="Calibri"/>
                <w:sz w:val="20"/>
                <w:szCs w:val="20"/>
                <w:lang w:val="en-US"/>
              </w:rPr>
              <w:t>115.0%</w:t>
            </w:r>
          </w:p>
        </w:tc>
      </w:tr>
      <w:tr w:rsidR="005D61F0" w:rsidRPr="00B30283" w:rsidTr="00A5673A">
        <w:trPr>
          <w:trHeight w:val="255"/>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5D61F0" w:rsidRPr="00B30283" w:rsidRDefault="00845060" w:rsidP="00756727">
            <w:pPr>
              <w:spacing w:after="0" w:line="240" w:lineRule="auto"/>
              <w:rPr>
                <w:rFonts w:eastAsia="Times New Roman" w:cs="Calibri"/>
                <w:bCs/>
                <w:sz w:val="20"/>
                <w:szCs w:val="20"/>
                <w:lang w:val="en-US"/>
              </w:rPr>
            </w:pPr>
            <w:r w:rsidRPr="00B30283">
              <w:rPr>
                <w:rFonts w:eastAsia="Times New Roman" w:cs="Calibri"/>
                <w:bCs/>
                <w:sz w:val="20"/>
                <w:szCs w:val="20"/>
                <w:lang w:val="en-US"/>
              </w:rPr>
              <w:t>Professional qualification where this is required for the job and the</w:t>
            </w:r>
            <w:r w:rsidR="005D61F0" w:rsidRPr="00B30283">
              <w:rPr>
                <w:rFonts w:eastAsia="Times New Roman" w:cs="Calibri"/>
                <w:bCs/>
                <w:sz w:val="20"/>
                <w:szCs w:val="20"/>
                <w:lang w:val="en-US"/>
              </w:rPr>
              <w:t xml:space="preserve"> </w:t>
            </w:r>
            <w:r w:rsidR="00C00131" w:rsidRPr="00B30283">
              <w:rPr>
                <w:rFonts w:eastAsia="Times New Roman" w:cs="Calibri"/>
                <w:bCs/>
                <w:sz w:val="20"/>
                <w:szCs w:val="20"/>
                <w:lang w:val="en-US"/>
              </w:rPr>
              <w:t>Master’s</w:t>
            </w:r>
            <w:r w:rsidRPr="00B30283">
              <w:rPr>
                <w:rFonts w:eastAsia="Times New Roman" w:cs="Calibri"/>
                <w:bCs/>
                <w:sz w:val="20"/>
                <w:szCs w:val="20"/>
                <w:lang w:val="en-US"/>
              </w:rPr>
              <w:t xml:space="preserve"> degree where this is utilised</w:t>
            </w:r>
          </w:p>
        </w:tc>
        <w:tc>
          <w:tcPr>
            <w:tcW w:w="2126" w:type="dxa"/>
            <w:tcBorders>
              <w:top w:val="nil"/>
              <w:left w:val="nil"/>
              <w:bottom w:val="single" w:sz="4" w:space="0" w:color="auto"/>
              <w:right w:val="single" w:sz="4" w:space="0" w:color="auto"/>
            </w:tcBorders>
            <w:shd w:val="clear" w:color="auto" w:fill="auto"/>
            <w:noWrap/>
            <w:vAlign w:val="bottom"/>
            <w:hideMark/>
          </w:tcPr>
          <w:p w:rsidR="005D61F0" w:rsidRPr="00B30283" w:rsidRDefault="005D61F0" w:rsidP="00756727">
            <w:pPr>
              <w:spacing w:after="0" w:line="240" w:lineRule="auto"/>
              <w:jc w:val="right"/>
              <w:rPr>
                <w:rFonts w:eastAsia="Times New Roman" w:cs="Calibri"/>
                <w:sz w:val="20"/>
                <w:szCs w:val="20"/>
                <w:lang w:val="en-US"/>
              </w:rPr>
            </w:pPr>
            <w:r w:rsidRPr="00B30283">
              <w:rPr>
                <w:rFonts w:eastAsia="Times New Roman" w:cs="Calibri"/>
                <w:sz w:val="20"/>
                <w:szCs w:val="20"/>
                <w:lang w:val="en-US"/>
              </w:rPr>
              <w:t>125.0%</w:t>
            </w:r>
          </w:p>
        </w:tc>
      </w:tr>
      <w:tr w:rsidR="005D61F0" w:rsidRPr="00B30283" w:rsidTr="00A5673A">
        <w:trPr>
          <w:trHeight w:val="255"/>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5D61F0" w:rsidRPr="00B30283" w:rsidRDefault="00845060" w:rsidP="00845060">
            <w:pPr>
              <w:spacing w:after="0" w:line="240" w:lineRule="auto"/>
              <w:rPr>
                <w:rFonts w:eastAsia="Times New Roman" w:cs="Calibri"/>
                <w:bCs/>
                <w:sz w:val="20"/>
                <w:szCs w:val="20"/>
                <w:lang w:val="en-US"/>
              </w:rPr>
            </w:pPr>
            <w:r w:rsidRPr="00B30283">
              <w:rPr>
                <w:rFonts w:eastAsia="Times New Roman" w:cs="Calibri"/>
                <w:bCs/>
                <w:sz w:val="20"/>
                <w:szCs w:val="20"/>
                <w:lang w:val="en-US"/>
              </w:rPr>
              <w:t>Professional qualification where this is required for the job and the PhD degree where this is utilized</w:t>
            </w:r>
          </w:p>
        </w:tc>
        <w:tc>
          <w:tcPr>
            <w:tcW w:w="2126" w:type="dxa"/>
            <w:tcBorders>
              <w:top w:val="nil"/>
              <w:left w:val="nil"/>
              <w:bottom w:val="single" w:sz="4" w:space="0" w:color="auto"/>
              <w:right w:val="single" w:sz="4" w:space="0" w:color="auto"/>
            </w:tcBorders>
            <w:shd w:val="clear" w:color="auto" w:fill="auto"/>
            <w:noWrap/>
            <w:vAlign w:val="bottom"/>
            <w:hideMark/>
          </w:tcPr>
          <w:p w:rsidR="005D61F0" w:rsidRPr="00B30283" w:rsidRDefault="005D61F0" w:rsidP="00756727">
            <w:pPr>
              <w:spacing w:after="0" w:line="240" w:lineRule="auto"/>
              <w:jc w:val="right"/>
              <w:rPr>
                <w:rFonts w:eastAsia="Times New Roman" w:cs="Calibri"/>
                <w:sz w:val="20"/>
                <w:szCs w:val="20"/>
                <w:lang w:val="en-US"/>
              </w:rPr>
            </w:pPr>
            <w:r w:rsidRPr="00B30283">
              <w:rPr>
                <w:rFonts w:eastAsia="Times New Roman" w:cs="Calibri"/>
                <w:sz w:val="20"/>
                <w:szCs w:val="20"/>
                <w:lang w:val="en-US"/>
              </w:rPr>
              <w:t>135.0%</w:t>
            </w:r>
          </w:p>
        </w:tc>
      </w:tr>
    </w:tbl>
    <w:p w:rsidR="005D61F0" w:rsidRPr="00B30283" w:rsidRDefault="005D61F0" w:rsidP="00BF3ECD">
      <w:pPr>
        <w:pStyle w:val="ListParagraph"/>
      </w:pPr>
    </w:p>
    <w:p w:rsidR="000D59DE" w:rsidRPr="00B30283" w:rsidRDefault="000D59DE" w:rsidP="000D59DE">
      <w:pPr>
        <w:pStyle w:val="ListParagraph"/>
      </w:pPr>
    </w:p>
    <w:p w:rsidR="00B93DCC" w:rsidRPr="00B30283" w:rsidRDefault="0022606F" w:rsidP="0022606F">
      <w:pPr>
        <w:pStyle w:val="ListParagraph"/>
        <w:numPr>
          <w:ilvl w:val="0"/>
          <w:numId w:val="13"/>
        </w:numPr>
      </w:pPr>
      <w:r w:rsidRPr="00B30283">
        <w:t xml:space="preserve">For those individuals in </w:t>
      </w:r>
      <w:r w:rsidR="00B93DCC" w:rsidRPr="00B30283">
        <w:t>the scarce skills</w:t>
      </w:r>
      <w:r w:rsidR="002F14C5" w:rsidRPr="00B30283">
        <w:t xml:space="preserve"> disciplinary areas and </w:t>
      </w:r>
      <w:r w:rsidR="00B93DCC" w:rsidRPr="00B30283">
        <w:t xml:space="preserve">posts identified,  </w:t>
      </w:r>
      <w:r w:rsidR="002F14C5" w:rsidRPr="00B30283">
        <w:t xml:space="preserve">the </w:t>
      </w:r>
      <w:r w:rsidR="002F14C5" w:rsidRPr="00B30283">
        <w:rPr>
          <w:i/>
        </w:rPr>
        <w:t>value of the scarcity allowance</w:t>
      </w:r>
      <w:r w:rsidR="002F14C5" w:rsidRPr="00B30283">
        <w:t xml:space="preserve"> w</w:t>
      </w:r>
      <w:r w:rsidR="00B93DCC" w:rsidRPr="00B30283">
        <w:t>as</w:t>
      </w:r>
      <w:r w:rsidR="002F14C5" w:rsidRPr="00B30283">
        <w:t xml:space="preserve"> </w:t>
      </w:r>
      <w:r w:rsidR="00CE49F5" w:rsidRPr="00B30283">
        <w:t xml:space="preserve">determined </w:t>
      </w:r>
      <w:r w:rsidR="002F14C5" w:rsidRPr="00B30283">
        <w:t>as</w:t>
      </w:r>
      <w:r w:rsidR="00B93DCC" w:rsidRPr="00B30283">
        <w:t xml:space="preserve"> follows:</w:t>
      </w:r>
    </w:p>
    <w:p w:rsidR="00B50DD4" w:rsidRPr="00B30283" w:rsidRDefault="00884080" w:rsidP="000D59DE">
      <w:pPr>
        <w:pStyle w:val="ListParagraph"/>
        <w:numPr>
          <w:ilvl w:val="1"/>
          <w:numId w:val="13"/>
        </w:numPr>
      </w:pPr>
      <w:r w:rsidRPr="00B30283">
        <w:t xml:space="preserve">the </w:t>
      </w:r>
      <w:r w:rsidR="00CE49F5" w:rsidRPr="00B30283">
        <w:t xml:space="preserve">starting point was the individual’s </w:t>
      </w:r>
      <w:r w:rsidRPr="00B30283">
        <w:t>current compa</w:t>
      </w:r>
      <w:r w:rsidR="00CE49F5" w:rsidRPr="00B30283">
        <w:t>rative</w:t>
      </w:r>
      <w:r w:rsidRPr="00B30283">
        <w:t xml:space="preserve"> ratio</w:t>
      </w:r>
      <w:r w:rsidRPr="00B30283">
        <w:rPr>
          <w:rStyle w:val="FootnoteReference"/>
        </w:rPr>
        <w:footnoteReference w:id="6"/>
      </w:r>
      <w:r w:rsidR="00CE49F5" w:rsidRPr="00B30283">
        <w:t xml:space="preserve"> on basic salary</w:t>
      </w:r>
      <w:r w:rsidRPr="00B30283">
        <w:t>;</w:t>
      </w:r>
    </w:p>
    <w:p w:rsidR="00884080" w:rsidRPr="00B30283" w:rsidRDefault="0006262B" w:rsidP="000D59DE">
      <w:pPr>
        <w:pStyle w:val="ListParagraph"/>
        <w:numPr>
          <w:ilvl w:val="1"/>
          <w:numId w:val="13"/>
        </w:numPr>
      </w:pPr>
      <w:r w:rsidRPr="00B30283">
        <w:t>any non-pensionable allowance</w:t>
      </w:r>
      <w:r w:rsidRPr="00B30283">
        <w:rPr>
          <w:rStyle w:val="FootnoteReference"/>
        </w:rPr>
        <w:footnoteReference w:id="7"/>
      </w:r>
      <w:r w:rsidRPr="00B30283">
        <w:t xml:space="preserve"> currently being received</w:t>
      </w:r>
      <w:r w:rsidR="00CE49F5" w:rsidRPr="00B30283">
        <w:t xml:space="preserve"> and which have been positioned as scarcity allowances</w:t>
      </w:r>
      <w:r w:rsidR="00FD5552" w:rsidRPr="00B30283">
        <w:t>. These allowances will also be converted to scarcity allowances</w:t>
      </w:r>
      <w:r w:rsidRPr="00B30283">
        <w:t>;</w:t>
      </w:r>
      <w:r w:rsidR="0061537E" w:rsidRPr="00B30283">
        <w:t xml:space="preserve"> </w:t>
      </w:r>
      <w:r w:rsidR="00CE49F5" w:rsidRPr="00B30283">
        <w:t xml:space="preserve"> and</w:t>
      </w:r>
    </w:p>
    <w:p w:rsidR="0006262B" w:rsidRPr="00B30283" w:rsidRDefault="00FD5552" w:rsidP="000D59DE">
      <w:pPr>
        <w:pStyle w:val="ListParagraph"/>
        <w:numPr>
          <w:ilvl w:val="1"/>
          <w:numId w:val="13"/>
        </w:numPr>
      </w:pPr>
      <w:r w:rsidRPr="00B30283">
        <w:t>any scarcity all</w:t>
      </w:r>
      <w:r w:rsidR="0061537E" w:rsidRPr="00B30283">
        <w:t>owance currently being received.</w:t>
      </w:r>
    </w:p>
    <w:p w:rsidR="002C6845" w:rsidRPr="00B30283" w:rsidRDefault="002C6845" w:rsidP="002C6845">
      <w:pPr>
        <w:pStyle w:val="ListParagraph"/>
      </w:pPr>
      <w:r w:rsidRPr="00B30283">
        <w:t>Where the individual is already at or above the level of the proposed compa</w:t>
      </w:r>
      <w:r w:rsidR="009C6CF7" w:rsidRPr="00B30283">
        <w:t>rative</w:t>
      </w:r>
      <w:r w:rsidRPr="00B30283">
        <w:t xml:space="preserve"> ratio, then s/he would n</w:t>
      </w:r>
      <w:r w:rsidR="009C6CF7" w:rsidRPr="00B30283">
        <w:t>ot be paid a scarcity allowance. Where the individual is already receiving more than the recommended allowance, internal equity (i.e. alignment with the recommended level), will need to be achieved over time.</w:t>
      </w:r>
    </w:p>
    <w:p w:rsidR="00CE49F5" w:rsidRPr="00B30283" w:rsidRDefault="00CE49F5" w:rsidP="00CE49F5">
      <w:pPr>
        <w:pStyle w:val="ListParagraph"/>
      </w:pPr>
    </w:p>
    <w:p w:rsidR="00734804" w:rsidRPr="00B30283" w:rsidRDefault="0061537E" w:rsidP="00CE49F5">
      <w:pPr>
        <w:pStyle w:val="ListParagraph"/>
        <w:numPr>
          <w:ilvl w:val="0"/>
          <w:numId w:val="13"/>
        </w:numPr>
      </w:pPr>
      <w:r w:rsidRPr="00B30283">
        <w:t>An academic receiving a scarcity allowance</w:t>
      </w:r>
      <w:r w:rsidR="006E7664" w:rsidRPr="00B30283">
        <w:t xml:space="preserve"> and who is elected as a full-time Dean</w:t>
      </w:r>
      <w:r w:rsidRPr="00B30283">
        <w:t>, will not</w:t>
      </w:r>
      <w:r w:rsidR="006E7664" w:rsidRPr="00B30283">
        <w:t xml:space="preserve"> continue to have this allowance</w:t>
      </w:r>
      <w:r w:rsidRPr="00B30283">
        <w:t xml:space="preserve"> this during his/her term of election as Dean</w:t>
      </w:r>
      <w:r w:rsidR="006E7664" w:rsidRPr="00B30283">
        <w:t xml:space="preserve"> as s/he is not teaching or supervising of students. </w:t>
      </w:r>
      <w:r w:rsidR="00734804" w:rsidRPr="00B30283">
        <w:t xml:space="preserve"> Where the scarcity allowance is more than the Dean’s allowance, the level of remuneration will be maintained. </w:t>
      </w:r>
    </w:p>
    <w:p w:rsidR="009264F7" w:rsidRPr="00B30283" w:rsidRDefault="00CE49F5" w:rsidP="00734804">
      <w:pPr>
        <w:pStyle w:val="ListParagraph"/>
      </w:pPr>
      <w:r w:rsidRPr="00B30283">
        <w:t>A part-time</w:t>
      </w:r>
      <w:r w:rsidR="006E7664" w:rsidRPr="00B30283">
        <w:t xml:space="preserve"> Dean is teaching </w:t>
      </w:r>
      <w:r w:rsidRPr="00B30283">
        <w:t>and/</w:t>
      </w:r>
      <w:r w:rsidR="006E7664" w:rsidRPr="00B30283">
        <w:t>or supervising</w:t>
      </w:r>
      <w:r w:rsidRPr="00B30283">
        <w:t xml:space="preserve"> and therefore</w:t>
      </w:r>
      <w:r w:rsidR="006E7664" w:rsidRPr="00B30283">
        <w:t>, the allowance will be paid on a pro-rata basis in relation to the extent of teaching a</w:t>
      </w:r>
      <w:r w:rsidRPr="00B30283">
        <w:t>nd supervision responsibilities</w:t>
      </w:r>
      <w:r w:rsidR="00030930" w:rsidRPr="00B30283">
        <w:t>.</w:t>
      </w:r>
    </w:p>
    <w:p w:rsidR="009264F7" w:rsidRDefault="009264F7" w:rsidP="009264F7">
      <w:pPr>
        <w:pStyle w:val="ListParagraph"/>
      </w:pPr>
    </w:p>
    <w:p w:rsidR="00E66C06" w:rsidRPr="00B30283" w:rsidRDefault="00E66C06" w:rsidP="009264F7">
      <w:pPr>
        <w:pStyle w:val="ListParagraph"/>
      </w:pPr>
    </w:p>
    <w:p w:rsidR="00A5673A" w:rsidRPr="00B30283" w:rsidRDefault="00A5673A" w:rsidP="009264F7">
      <w:pPr>
        <w:pStyle w:val="ListParagraph"/>
      </w:pPr>
    </w:p>
    <w:p w:rsidR="00C4154E" w:rsidRPr="00B30283" w:rsidRDefault="00C4154E" w:rsidP="00C4154E">
      <w:pPr>
        <w:pStyle w:val="ListParagraph"/>
        <w:numPr>
          <w:ilvl w:val="0"/>
          <w:numId w:val="12"/>
        </w:numPr>
        <w:tabs>
          <w:tab w:val="left" w:pos="2220"/>
        </w:tabs>
        <w:rPr>
          <w:b/>
          <w:sz w:val="24"/>
          <w:szCs w:val="24"/>
        </w:rPr>
      </w:pPr>
      <w:r w:rsidRPr="00B30283">
        <w:rPr>
          <w:b/>
          <w:sz w:val="24"/>
          <w:szCs w:val="24"/>
        </w:rPr>
        <w:lastRenderedPageBreak/>
        <w:t>Process of consultation</w:t>
      </w:r>
      <w:r w:rsidR="000D1010" w:rsidRPr="00B30283">
        <w:rPr>
          <w:b/>
          <w:sz w:val="24"/>
          <w:szCs w:val="24"/>
        </w:rPr>
        <w:t xml:space="preserve"> and decision-making</w:t>
      </w:r>
    </w:p>
    <w:p w:rsidR="00C4154E" w:rsidRPr="00B30283" w:rsidRDefault="00C4154E" w:rsidP="00C4154E">
      <w:pPr>
        <w:pStyle w:val="ListParagraph"/>
        <w:ind w:left="0"/>
      </w:pPr>
      <w:r w:rsidRPr="00B30283">
        <w:t>The following process was followed in determining these allowances:</w:t>
      </w:r>
    </w:p>
    <w:p w:rsidR="00030930" w:rsidRPr="00B30283" w:rsidRDefault="00C4154E" w:rsidP="00030930">
      <w:pPr>
        <w:pStyle w:val="ListParagraph"/>
        <w:numPr>
          <w:ilvl w:val="0"/>
          <w:numId w:val="15"/>
        </w:numPr>
      </w:pPr>
      <w:r w:rsidRPr="00B30283">
        <w:t>A meeting was held between the Deans and Director: Human Resources to explore issues related to scarcity allowances;</w:t>
      </w:r>
    </w:p>
    <w:p w:rsidR="00030930" w:rsidRPr="00B30283" w:rsidRDefault="00C4154E" w:rsidP="00030930">
      <w:pPr>
        <w:pStyle w:val="ListParagraph"/>
        <w:numPr>
          <w:ilvl w:val="0"/>
          <w:numId w:val="15"/>
        </w:numPr>
      </w:pPr>
      <w:r w:rsidRPr="00B30283">
        <w:t>Based on the input from this meeting, a draft protocol was drawn up and presented and agreed to by the Deans in October 2011. Minor areas of fu</w:t>
      </w:r>
      <w:r w:rsidR="00030930" w:rsidRPr="00B30283">
        <w:t>r</w:t>
      </w:r>
      <w:r w:rsidRPr="00B30283">
        <w:t>ther exploration were delegated to the Director: HR to resolve with Deans of Commerce, Science and Pharmacy;</w:t>
      </w:r>
    </w:p>
    <w:p w:rsidR="00030930" w:rsidRPr="00B30283" w:rsidRDefault="00C4154E" w:rsidP="00030930">
      <w:pPr>
        <w:pStyle w:val="ListParagraph"/>
        <w:numPr>
          <w:ilvl w:val="0"/>
          <w:numId w:val="15"/>
        </w:numPr>
      </w:pPr>
      <w:r w:rsidRPr="00B30283">
        <w:t>The protocol was then discussion with NTEU for comment who in turn consulted with their constituency;</w:t>
      </w:r>
      <w:r w:rsidR="00225221" w:rsidRPr="00B30283">
        <w:t xml:space="preserve"> and</w:t>
      </w:r>
    </w:p>
    <w:p w:rsidR="00C4154E" w:rsidRPr="00B30283" w:rsidRDefault="009118C1" w:rsidP="00030930">
      <w:pPr>
        <w:pStyle w:val="ListParagraph"/>
        <w:numPr>
          <w:ilvl w:val="0"/>
          <w:numId w:val="15"/>
        </w:numPr>
      </w:pPr>
      <w:r>
        <w:t>The protocol was tabled for consideration</w:t>
      </w:r>
      <w:bookmarkStart w:id="0" w:name="_GoBack"/>
      <w:bookmarkEnd w:id="0"/>
      <w:r w:rsidR="00C4154E" w:rsidRPr="00B30283">
        <w:t xml:space="preserve"> </w:t>
      </w:r>
      <w:r w:rsidR="000D1010" w:rsidRPr="00B30283">
        <w:t>at Senate in November 2011;</w:t>
      </w:r>
    </w:p>
    <w:p w:rsidR="000D1010" w:rsidRPr="00B30283" w:rsidRDefault="000D1010" w:rsidP="00030930">
      <w:pPr>
        <w:pStyle w:val="ListParagraph"/>
        <w:numPr>
          <w:ilvl w:val="0"/>
          <w:numId w:val="15"/>
        </w:numPr>
      </w:pPr>
      <w:r w:rsidRPr="00B30283">
        <w:t xml:space="preserve">The final decision on scarcity allowances will be made in line with this protocol in consultation with the Deans of the relevant Faculties. </w:t>
      </w:r>
    </w:p>
    <w:p w:rsidR="00C4154E" w:rsidRPr="00B30283" w:rsidRDefault="00C4154E" w:rsidP="00C4154E">
      <w:pPr>
        <w:pStyle w:val="ListParagraph"/>
      </w:pPr>
    </w:p>
    <w:p w:rsidR="0097383C" w:rsidRPr="00B30283" w:rsidRDefault="00EC4894" w:rsidP="00EC4894">
      <w:pPr>
        <w:pStyle w:val="ListParagraph"/>
        <w:numPr>
          <w:ilvl w:val="0"/>
          <w:numId w:val="12"/>
        </w:numPr>
        <w:spacing w:after="0"/>
        <w:rPr>
          <w:b/>
          <w:sz w:val="24"/>
          <w:szCs w:val="24"/>
        </w:rPr>
      </w:pPr>
      <w:r w:rsidRPr="00B30283">
        <w:rPr>
          <w:b/>
          <w:sz w:val="24"/>
          <w:szCs w:val="24"/>
        </w:rPr>
        <w:t>Payment of allowances</w:t>
      </w:r>
    </w:p>
    <w:p w:rsidR="003D77D7" w:rsidRPr="00B30283" w:rsidRDefault="00825CA5" w:rsidP="00EC4894">
      <w:pPr>
        <w:spacing w:after="0"/>
      </w:pPr>
      <w:r w:rsidRPr="00B30283">
        <w:t xml:space="preserve">The payment of allowances shall be from </w:t>
      </w:r>
      <w:r w:rsidR="003D77D7" w:rsidRPr="00B30283">
        <w:t>1 July 2011</w:t>
      </w:r>
      <w:r w:rsidRPr="00B30283">
        <w:t xml:space="preserve">. </w:t>
      </w:r>
    </w:p>
    <w:p w:rsidR="0097383C" w:rsidRPr="00B30283" w:rsidRDefault="0097383C" w:rsidP="008D3DE5">
      <w:pPr>
        <w:pStyle w:val="ListParagraph"/>
        <w:ind w:left="360"/>
      </w:pPr>
    </w:p>
    <w:p w:rsidR="0097383C" w:rsidRPr="00B30283" w:rsidRDefault="0097383C" w:rsidP="008D3DE5">
      <w:pPr>
        <w:pStyle w:val="ListParagraph"/>
        <w:ind w:left="360"/>
      </w:pPr>
    </w:p>
    <w:p w:rsidR="003D77D7" w:rsidRPr="00B30283" w:rsidRDefault="003D77D7" w:rsidP="00225221">
      <w:pPr>
        <w:pStyle w:val="ListParagraph"/>
        <w:ind w:left="360"/>
        <w:jc w:val="right"/>
        <w:rPr>
          <w:sz w:val="16"/>
          <w:szCs w:val="16"/>
        </w:rPr>
      </w:pPr>
      <w:r w:rsidRPr="00B30283">
        <w:rPr>
          <w:b/>
          <w:sz w:val="16"/>
          <w:szCs w:val="16"/>
        </w:rPr>
        <w:t>Last updated</w:t>
      </w:r>
      <w:r w:rsidRPr="00B30283">
        <w:rPr>
          <w:sz w:val="16"/>
          <w:szCs w:val="16"/>
        </w:rPr>
        <w:t>: November 2011</w:t>
      </w:r>
    </w:p>
    <w:p w:rsidR="003D77D7" w:rsidRPr="00B30283" w:rsidRDefault="003D77D7" w:rsidP="00225221">
      <w:pPr>
        <w:pStyle w:val="ListParagraph"/>
        <w:ind w:left="360"/>
        <w:jc w:val="right"/>
        <w:rPr>
          <w:sz w:val="16"/>
          <w:szCs w:val="16"/>
        </w:rPr>
      </w:pPr>
      <w:r w:rsidRPr="00B30283">
        <w:rPr>
          <w:b/>
          <w:sz w:val="16"/>
          <w:szCs w:val="16"/>
        </w:rPr>
        <w:t>Written</w:t>
      </w:r>
      <w:r w:rsidRPr="00B30283">
        <w:rPr>
          <w:sz w:val="16"/>
          <w:szCs w:val="16"/>
        </w:rPr>
        <w:t>: Director, HR</w:t>
      </w:r>
    </w:p>
    <w:p w:rsidR="003D77D7" w:rsidRPr="00B30283" w:rsidRDefault="003D77D7" w:rsidP="00225221">
      <w:pPr>
        <w:pStyle w:val="ListParagraph"/>
        <w:ind w:left="360"/>
        <w:jc w:val="right"/>
        <w:rPr>
          <w:sz w:val="16"/>
          <w:szCs w:val="16"/>
        </w:rPr>
      </w:pPr>
      <w:r w:rsidRPr="00B30283">
        <w:rPr>
          <w:b/>
          <w:sz w:val="16"/>
          <w:szCs w:val="16"/>
        </w:rPr>
        <w:t>Consulted with Academic Leadership Forum:</w:t>
      </w:r>
      <w:r w:rsidRPr="00B30283">
        <w:rPr>
          <w:sz w:val="16"/>
          <w:szCs w:val="16"/>
        </w:rPr>
        <w:t xml:space="preserve"> October 2011</w:t>
      </w:r>
    </w:p>
    <w:p w:rsidR="003D77D7" w:rsidRDefault="003D77D7" w:rsidP="00225221">
      <w:pPr>
        <w:pStyle w:val="ListParagraph"/>
        <w:ind w:left="360"/>
        <w:jc w:val="right"/>
        <w:rPr>
          <w:sz w:val="16"/>
          <w:szCs w:val="16"/>
        </w:rPr>
      </w:pPr>
      <w:r w:rsidRPr="00B30283">
        <w:rPr>
          <w:b/>
          <w:sz w:val="16"/>
          <w:szCs w:val="16"/>
        </w:rPr>
        <w:t xml:space="preserve">Consultation with </w:t>
      </w:r>
      <w:proofErr w:type="gramStart"/>
      <w:r w:rsidRPr="00B30283">
        <w:rPr>
          <w:b/>
          <w:sz w:val="16"/>
          <w:szCs w:val="16"/>
        </w:rPr>
        <w:t>unions  (</w:t>
      </w:r>
      <w:proofErr w:type="gramEnd"/>
      <w:r w:rsidRPr="00B30283">
        <w:rPr>
          <w:b/>
          <w:sz w:val="16"/>
          <w:szCs w:val="16"/>
        </w:rPr>
        <w:t>NTEU):</w:t>
      </w:r>
      <w:r w:rsidRPr="00B30283">
        <w:rPr>
          <w:sz w:val="16"/>
          <w:szCs w:val="16"/>
        </w:rPr>
        <w:t xml:space="preserve"> November 2011</w:t>
      </w:r>
    </w:p>
    <w:p w:rsidR="00E66C06" w:rsidRPr="00225221" w:rsidRDefault="00E66C06" w:rsidP="00225221">
      <w:pPr>
        <w:pStyle w:val="ListParagraph"/>
        <w:ind w:left="360"/>
        <w:jc w:val="right"/>
        <w:rPr>
          <w:sz w:val="16"/>
          <w:szCs w:val="16"/>
        </w:rPr>
      </w:pPr>
      <w:r>
        <w:rPr>
          <w:b/>
          <w:sz w:val="16"/>
          <w:szCs w:val="16"/>
        </w:rPr>
        <w:t>Approved by Senate:</w:t>
      </w:r>
      <w:r>
        <w:rPr>
          <w:sz w:val="16"/>
          <w:szCs w:val="16"/>
        </w:rPr>
        <w:t xml:space="preserve"> 25 November 2011</w:t>
      </w:r>
    </w:p>
    <w:p w:rsidR="003D77D7" w:rsidRPr="00225221" w:rsidRDefault="003D77D7" w:rsidP="003D77D7">
      <w:pPr>
        <w:pStyle w:val="ListParagraph"/>
        <w:ind w:left="360"/>
        <w:rPr>
          <w:sz w:val="16"/>
          <w:szCs w:val="16"/>
        </w:rPr>
      </w:pPr>
    </w:p>
    <w:sectPr w:rsidR="003D77D7" w:rsidRPr="00225221" w:rsidSect="00274A5D">
      <w:pgSz w:w="11906" w:h="16838"/>
      <w:pgMar w:top="567" w:right="624" w:bottom="567"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F3F" w:rsidRDefault="00510F3F" w:rsidP="00DA1D9D">
      <w:pPr>
        <w:spacing w:after="0" w:line="240" w:lineRule="auto"/>
      </w:pPr>
      <w:r>
        <w:separator/>
      </w:r>
    </w:p>
  </w:endnote>
  <w:endnote w:type="continuationSeparator" w:id="0">
    <w:p w:rsidR="00510F3F" w:rsidRDefault="00510F3F" w:rsidP="00DA1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F3F" w:rsidRDefault="00510F3F" w:rsidP="00DA1D9D">
      <w:pPr>
        <w:spacing w:after="0" w:line="240" w:lineRule="auto"/>
      </w:pPr>
      <w:r>
        <w:separator/>
      </w:r>
    </w:p>
  </w:footnote>
  <w:footnote w:type="continuationSeparator" w:id="0">
    <w:p w:rsidR="00510F3F" w:rsidRDefault="00510F3F" w:rsidP="00DA1D9D">
      <w:pPr>
        <w:spacing w:after="0" w:line="240" w:lineRule="auto"/>
      </w:pPr>
      <w:r>
        <w:continuationSeparator/>
      </w:r>
    </w:p>
  </w:footnote>
  <w:footnote w:id="1">
    <w:p w:rsidR="006755CC" w:rsidRDefault="006755CC">
      <w:pPr>
        <w:pStyle w:val="FootnoteText"/>
      </w:pPr>
      <w:r>
        <w:rPr>
          <w:rStyle w:val="FootnoteReference"/>
        </w:rPr>
        <w:footnoteRef/>
      </w:r>
      <w:r>
        <w:t xml:space="preserve"> Although it could be assumed that looking at the payment of scarcity allowances is the most obvious place to look for the payment of premiums, the practice of the payment of premiums is not consistent in the HE sector. In some HE institutions, an allowance is paid, in others a premium in paid on basic and in others a premium is paid </w:t>
      </w:r>
      <w:r w:rsidR="00B86058">
        <w:t>as part of the total</w:t>
      </w:r>
      <w:r>
        <w:t xml:space="preserve"> cost to company. For this reason, all three sources of information have been us</w:t>
      </w:r>
      <w:r w:rsidR="008C4922">
        <w:t>e</w:t>
      </w:r>
      <w:r>
        <w:t>d</w:t>
      </w:r>
      <w:r w:rsidR="00456745">
        <w:t>. The Higher Education Comparative Survey (May 2011) indicated that 40% of the group sampled paid some sort of allowance while the other 60% indicated that the premium was integrated into the total guaranteed package</w:t>
      </w:r>
      <w:r>
        <w:t>.</w:t>
      </w:r>
    </w:p>
  </w:footnote>
  <w:footnote w:id="2">
    <w:p w:rsidR="00DA1D9D" w:rsidRDefault="00DA1D9D">
      <w:pPr>
        <w:pStyle w:val="FootnoteText"/>
      </w:pPr>
      <w:r>
        <w:rPr>
          <w:rStyle w:val="FootnoteReference"/>
        </w:rPr>
        <w:footnoteRef/>
      </w:r>
      <w:r>
        <w:t xml:space="preserve"> This is expressed as a percentage. For example, a comparative (or compa) ratio of 97% for a lecturer in History would indicate that lecturers in history are</w:t>
      </w:r>
      <w:r w:rsidR="00AB72DB">
        <w:t xml:space="preserve"> </w:t>
      </w:r>
      <w:r>
        <w:t>paid 3% less</w:t>
      </w:r>
      <w:r w:rsidR="00AE6941">
        <w:t xml:space="preserve"> on basic salary</w:t>
      </w:r>
      <w:r>
        <w:t xml:space="preserve"> than the average </w:t>
      </w:r>
      <w:r w:rsidR="00AE6941">
        <w:t xml:space="preserve">basic salary paid </w:t>
      </w:r>
      <w:r w:rsidR="00AB72DB">
        <w:t>to lecturers within the HE sector.</w:t>
      </w:r>
    </w:p>
  </w:footnote>
  <w:footnote w:id="3">
    <w:p w:rsidR="006755CC" w:rsidRDefault="006755CC">
      <w:pPr>
        <w:pStyle w:val="FootnoteText"/>
      </w:pPr>
      <w:r>
        <w:rPr>
          <w:rStyle w:val="FootnoteReference"/>
        </w:rPr>
        <w:footnoteRef/>
      </w:r>
      <w:r>
        <w:t xml:space="preserve"> Guaranteed package refers to all remuneration that is guaranteed. It excludes annual payments paid for performance or as a result of consultancy/short course work.</w:t>
      </w:r>
    </w:p>
  </w:footnote>
  <w:footnote w:id="4">
    <w:p w:rsidR="00F03965" w:rsidRDefault="00F03965">
      <w:pPr>
        <w:pStyle w:val="FootnoteText"/>
      </w:pPr>
      <w:r>
        <w:rPr>
          <w:rStyle w:val="FootnoteReference"/>
        </w:rPr>
        <w:footnoteRef/>
      </w:r>
      <w:r>
        <w:t xml:space="preserve"> This means that a decision is taken to pay at a particular compa ratio on cash. For example, a decision may be taken to pay at the 110% compa ratio on basic. </w:t>
      </w:r>
    </w:p>
  </w:footnote>
  <w:footnote w:id="5">
    <w:p w:rsidR="00675998" w:rsidRDefault="00675998">
      <w:pPr>
        <w:pStyle w:val="FootnoteText"/>
      </w:pPr>
      <w:r>
        <w:rPr>
          <w:rStyle w:val="FootnoteReference"/>
        </w:rPr>
        <w:footnoteRef/>
      </w:r>
      <w:r>
        <w:t xml:space="preserve"> 50</w:t>
      </w:r>
      <w:r w:rsidRPr="00675998">
        <w:rPr>
          <w:vertAlign w:val="superscript"/>
        </w:rPr>
        <w:t>th</w:t>
      </w:r>
      <w:r>
        <w:t xml:space="preserve"> percentile refers the median remuneration point  HE sector.</w:t>
      </w:r>
    </w:p>
  </w:footnote>
  <w:footnote w:id="6">
    <w:p w:rsidR="00884080" w:rsidRDefault="00884080">
      <w:pPr>
        <w:pStyle w:val="FootnoteText"/>
      </w:pPr>
      <w:r>
        <w:rPr>
          <w:rStyle w:val="FootnoteReference"/>
        </w:rPr>
        <w:footnoteRef/>
      </w:r>
      <w:r>
        <w:t xml:space="preserve"> This is calculated by comparing the person’s current basis salary with the mid-range (100%) of basic salary for that level at Rhodes University. For example, if the mid-range basic salary is R30 000 per month and the person is earning R32000 per month, the compa ratio would be R32 000/R30 000 = 106.7% </w:t>
      </w:r>
    </w:p>
  </w:footnote>
  <w:footnote w:id="7">
    <w:p w:rsidR="0006262B" w:rsidRDefault="0006262B">
      <w:pPr>
        <w:pStyle w:val="FootnoteText"/>
      </w:pPr>
      <w:r>
        <w:rPr>
          <w:rStyle w:val="FootnoteReference"/>
        </w:rPr>
        <w:footnoteRef/>
      </w:r>
      <w:r>
        <w:t xml:space="preserve"> This is to ensure </w:t>
      </w:r>
      <w:r w:rsidR="00D07C76">
        <w:t xml:space="preserve">internal </w:t>
      </w:r>
      <w:r>
        <w:t xml:space="preserve">equity related to the payment of allowances and to </w:t>
      </w:r>
      <w:r w:rsidR="00FD5552">
        <w:t>move towards a consistent practice re</w:t>
      </w:r>
      <w:r w:rsidR="00D07C76">
        <w:t>lated to the payment of scarcity allowances</w:t>
      </w:r>
      <w:r w:rsidR="00FD5552">
        <w:t xml:space="preserve">.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12961"/>
    <w:multiLevelType w:val="multilevel"/>
    <w:tmpl w:val="498041F0"/>
    <w:lvl w:ilvl="0">
      <w:start w:val="1"/>
      <w:numFmt w:val="decimal"/>
      <w:lvlText w:val="%1."/>
      <w:lvlJc w:val="left"/>
      <w:pPr>
        <w:tabs>
          <w:tab w:val="num" w:pos="1080"/>
        </w:tabs>
        <w:ind w:left="1080" w:hanging="720"/>
      </w:pPr>
      <w:rPr>
        <w:rFonts w:hint="default"/>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right"/>
      <w:pPr>
        <w:tabs>
          <w:tab w:val="num" w:pos="2160"/>
        </w:tabs>
        <w:ind w:left="2160" w:hanging="180"/>
      </w:pPr>
      <w:rPr>
        <w:rFonts w:ascii="Calibri" w:eastAsia="Calibri" w:hAnsi="Calibri" w:cs="Times New Roman"/>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98420AE"/>
    <w:multiLevelType w:val="hybridMultilevel"/>
    <w:tmpl w:val="074EA97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41B4C86"/>
    <w:multiLevelType w:val="hybridMultilevel"/>
    <w:tmpl w:val="0BBC9E7E"/>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51F54D0"/>
    <w:multiLevelType w:val="hybridMultilevel"/>
    <w:tmpl w:val="3EE40A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844730D"/>
    <w:multiLevelType w:val="hybridMultilevel"/>
    <w:tmpl w:val="8E84BE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A860413"/>
    <w:multiLevelType w:val="hybridMultilevel"/>
    <w:tmpl w:val="F5E27C0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086E00"/>
    <w:multiLevelType w:val="hybridMultilevel"/>
    <w:tmpl w:val="716C9F00"/>
    <w:lvl w:ilvl="0" w:tplc="1C090005">
      <w:start w:val="1"/>
      <w:numFmt w:val="bullet"/>
      <w:lvlText w:val=""/>
      <w:lvlJc w:val="left"/>
      <w:pPr>
        <w:ind w:left="720" w:hanging="360"/>
      </w:pPr>
      <w:rPr>
        <w:rFonts w:ascii="Wingdings" w:hAnsi="Wingding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C9317A9"/>
    <w:multiLevelType w:val="hybridMultilevel"/>
    <w:tmpl w:val="BB2C12F6"/>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BAC3B1E"/>
    <w:multiLevelType w:val="hybridMultilevel"/>
    <w:tmpl w:val="81B6A20C"/>
    <w:lvl w:ilvl="0" w:tplc="1C09001B">
      <w:start w:val="1"/>
      <w:numFmt w:val="lowerRoman"/>
      <w:lvlText w:val="%1."/>
      <w:lvlJc w:val="right"/>
      <w:pPr>
        <w:ind w:left="720" w:hanging="360"/>
      </w:pPr>
    </w:lvl>
    <w:lvl w:ilvl="1" w:tplc="1C090005">
      <w:start w:val="1"/>
      <w:numFmt w:val="bullet"/>
      <w:lvlText w:val=""/>
      <w:lvlJc w:val="left"/>
      <w:pPr>
        <w:ind w:left="1440" w:hanging="360"/>
      </w:pPr>
      <w:rPr>
        <w:rFonts w:ascii="Wingdings" w:hAnsi="Wingdings"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D5F0068"/>
    <w:multiLevelType w:val="hybridMultilevel"/>
    <w:tmpl w:val="9D0674D2"/>
    <w:lvl w:ilvl="0" w:tplc="1C09001B">
      <w:start w:val="1"/>
      <w:numFmt w:val="lowerRoman"/>
      <w:lvlText w:val="%1."/>
      <w:lvlJc w:val="right"/>
      <w:pPr>
        <w:ind w:left="720" w:hanging="360"/>
      </w:p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51C4B57"/>
    <w:multiLevelType w:val="hybridMultilevel"/>
    <w:tmpl w:val="73F05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6F79E9"/>
    <w:multiLevelType w:val="hybridMultilevel"/>
    <w:tmpl w:val="C9CE90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615532"/>
    <w:multiLevelType w:val="hybridMultilevel"/>
    <w:tmpl w:val="474A7584"/>
    <w:lvl w:ilvl="0" w:tplc="1C09001B">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A0E2D6F"/>
    <w:multiLevelType w:val="hybridMultilevel"/>
    <w:tmpl w:val="F698D6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5F2F9E"/>
    <w:multiLevelType w:val="hybridMultilevel"/>
    <w:tmpl w:val="201051E6"/>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4"/>
  </w:num>
  <w:num w:numId="3">
    <w:abstractNumId w:val="12"/>
  </w:num>
  <w:num w:numId="4">
    <w:abstractNumId w:val="3"/>
  </w:num>
  <w:num w:numId="5">
    <w:abstractNumId w:val="0"/>
  </w:num>
  <w:num w:numId="6">
    <w:abstractNumId w:val="7"/>
  </w:num>
  <w:num w:numId="7">
    <w:abstractNumId w:val="14"/>
  </w:num>
  <w:num w:numId="8">
    <w:abstractNumId w:val="6"/>
  </w:num>
  <w:num w:numId="9">
    <w:abstractNumId w:val="8"/>
  </w:num>
  <w:num w:numId="10">
    <w:abstractNumId w:val="2"/>
  </w:num>
  <w:num w:numId="11">
    <w:abstractNumId w:val="9"/>
  </w:num>
  <w:num w:numId="12">
    <w:abstractNumId w:val="10"/>
  </w:num>
  <w:num w:numId="13">
    <w:abstractNumId w:val="5"/>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5D"/>
    <w:rsid w:val="00030930"/>
    <w:rsid w:val="0004298F"/>
    <w:rsid w:val="0006262B"/>
    <w:rsid w:val="0008161F"/>
    <w:rsid w:val="000D1010"/>
    <w:rsid w:val="000D59DE"/>
    <w:rsid w:val="000D7945"/>
    <w:rsid w:val="00106FC5"/>
    <w:rsid w:val="0012449B"/>
    <w:rsid w:val="00132A41"/>
    <w:rsid w:val="00140AF5"/>
    <w:rsid w:val="0017550F"/>
    <w:rsid w:val="0018499A"/>
    <w:rsid w:val="00187ED4"/>
    <w:rsid w:val="0019619D"/>
    <w:rsid w:val="001A03E6"/>
    <w:rsid w:val="00225221"/>
    <w:rsid w:val="0022606F"/>
    <w:rsid w:val="00247B63"/>
    <w:rsid w:val="00274A5D"/>
    <w:rsid w:val="00275DB5"/>
    <w:rsid w:val="002A2CB0"/>
    <w:rsid w:val="002B2C59"/>
    <w:rsid w:val="002B77F1"/>
    <w:rsid w:val="002C6845"/>
    <w:rsid w:val="002F14C5"/>
    <w:rsid w:val="00370EBB"/>
    <w:rsid w:val="0038289A"/>
    <w:rsid w:val="003A11E9"/>
    <w:rsid w:val="003C15F2"/>
    <w:rsid w:val="003D77D7"/>
    <w:rsid w:val="0043406A"/>
    <w:rsid w:val="004407BA"/>
    <w:rsid w:val="00455C89"/>
    <w:rsid w:val="00456745"/>
    <w:rsid w:val="00482FBA"/>
    <w:rsid w:val="00493643"/>
    <w:rsid w:val="004B39D9"/>
    <w:rsid w:val="004B6198"/>
    <w:rsid w:val="004E4497"/>
    <w:rsid w:val="004F1E97"/>
    <w:rsid w:val="004F69C0"/>
    <w:rsid w:val="00510F3F"/>
    <w:rsid w:val="00535C84"/>
    <w:rsid w:val="005364FB"/>
    <w:rsid w:val="00537D9D"/>
    <w:rsid w:val="00572E82"/>
    <w:rsid w:val="00586B79"/>
    <w:rsid w:val="005930EE"/>
    <w:rsid w:val="00593140"/>
    <w:rsid w:val="005A1C77"/>
    <w:rsid w:val="005D61F0"/>
    <w:rsid w:val="005E7AD3"/>
    <w:rsid w:val="005F25D2"/>
    <w:rsid w:val="00607E34"/>
    <w:rsid w:val="00613236"/>
    <w:rsid w:val="0061537E"/>
    <w:rsid w:val="00616CE7"/>
    <w:rsid w:val="006419B1"/>
    <w:rsid w:val="00670559"/>
    <w:rsid w:val="00674958"/>
    <w:rsid w:val="006755CC"/>
    <w:rsid w:val="00675998"/>
    <w:rsid w:val="00677948"/>
    <w:rsid w:val="006C2233"/>
    <w:rsid w:val="006E7664"/>
    <w:rsid w:val="00730A61"/>
    <w:rsid w:val="00734804"/>
    <w:rsid w:val="007917C3"/>
    <w:rsid w:val="007D00CA"/>
    <w:rsid w:val="007E1436"/>
    <w:rsid w:val="007F305F"/>
    <w:rsid w:val="00807449"/>
    <w:rsid w:val="00825CA5"/>
    <w:rsid w:val="00845060"/>
    <w:rsid w:val="00870C7B"/>
    <w:rsid w:val="00884080"/>
    <w:rsid w:val="008B4F5D"/>
    <w:rsid w:val="008C2E89"/>
    <w:rsid w:val="008C4922"/>
    <w:rsid w:val="008C5683"/>
    <w:rsid w:val="008D3DE5"/>
    <w:rsid w:val="008E487C"/>
    <w:rsid w:val="008F3F03"/>
    <w:rsid w:val="00903FFE"/>
    <w:rsid w:val="0090619E"/>
    <w:rsid w:val="009118C1"/>
    <w:rsid w:val="00912E74"/>
    <w:rsid w:val="00915690"/>
    <w:rsid w:val="009264F7"/>
    <w:rsid w:val="00942982"/>
    <w:rsid w:val="00957656"/>
    <w:rsid w:val="00960146"/>
    <w:rsid w:val="0097383C"/>
    <w:rsid w:val="00991F11"/>
    <w:rsid w:val="009B59CF"/>
    <w:rsid w:val="009C6CF7"/>
    <w:rsid w:val="009E6810"/>
    <w:rsid w:val="00A0530C"/>
    <w:rsid w:val="00A21342"/>
    <w:rsid w:val="00A2247E"/>
    <w:rsid w:val="00A271ED"/>
    <w:rsid w:val="00A423D5"/>
    <w:rsid w:val="00A5673A"/>
    <w:rsid w:val="00A83C33"/>
    <w:rsid w:val="00AB191A"/>
    <w:rsid w:val="00AB72DB"/>
    <w:rsid w:val="00AE2500"/>
    <w:rsid w:val="00AE6941"/>
    <w:rsid w:val="00AF4A93"/>
    <w:rsid w:val="00B05A76"/>
    <w:rsid w:val="00B21E11"/>
    <w:rsid w:val="00B30283"/>
    <w:rsid w:val="00B41C07"/>
    <w:rsid w:val="00B50DD4"/>
    <w:rsid w:val="00B62940"/>
    <w:rsid w:val="00B82DD5"/>
    <w:rsid w:val="00B86058"/>
    <w:rsid w:val="00B93DCC"/>
    <w:rsid w:val="00BA310E"/>
    <w:rsid w:val="00BC45AE"/>
    <w:rsid w:val="00BF3ECD"/>
    <w:rsid w:val="00C00131"/>
    <w:rsid w:val="00C03E8A"/>
    <w:rsid w:val="00C21425"/>
    <w:rsid w:val="00C4154E"/>
    <w:rsid w:val="00C50D40"/>
    <w:rsid w:val="00C91DCE"/>
    <w:rsid w:val="00CA45E9"/>
    <w:rsid w:val="00CA4FC8"/>
    <w:rsid w:val="00CC6707"/>
    <w:rsid w:val="00CE01F9"/>
    <w:rsid w:val="00CE49F5"/>
    <w:rsid w:val="00CF49EF"/>
    <w:rsid w:val="00D07C76"/>
    <w:rsid w:val="00D47197"/>
    <w:rsid w:val="00D47A22"/>
    <w:rsid w:val="00DA1D9D"/>
    <w:rsid w:val="00DB1A87"/>
    <w:rsid w:val="00DB1F93"/>
    <w:rsid w:val="00DB43C7"/>
    <w:rsid w:val="00DF04A6"/>
    <w:rsid w:val="00E04049"/>
    <w:rsid w:val="00E06BC1"/>
    <w:rsid w:val="00E41EC6"/>
    <w:rsid w:val="00E464F7"/>
    <w:rsid w:val="00E66C06"/>
    <w:rsid w:val="00E74B06"/>
    <w:rsid w:val="00EA643A"/>
    <w:rsid w:val="00EC4894"/>
    <w:rsid w:val="00ED742B"/>
    <w:rsid w:val="00F03965"/>
    <w:rsid w:val="00F238E5"/>
    <w:rsid w:val="00F42D55"/>
    <w:rsid w:val="00F67CF8"/>
    <w:rsid w:val="00FC4ADC"/>
    <w:rsid w:val="00FD1C36"/>
    <w:rsid w:val="00FD1FF7"/>
    <w:rsid w:val="00FD5552"/>
    <w:rsid w:val="00FD6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4F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F5D"/>
    <w:pPr>
      <w:ind w:left="720"/>
      <w:contextualSpacing/>
    </w:pPr>
  </w:style>
  <w:style w:type="paragraph" w:styleId="Footer">
    <w:name w:val="footer"/>
    <w:basedOn w:val="Normal"/>
    <w:link w:val="FooterChar"/>
    <w:rsid w:val="00AE2500"/>
    <w:pPr>
      <w:tabs>
        <w:tab w:val="center" w:pos="4153"/>
        <w:tab w:val="right" w:pos="8306"/>
      </w:tabs>
      <w:spacing w:after="0" w:line="240" w:lineRule="auto"/>
    </w:pPr>
    <w:rPr>
      <w:rFonts w:ascii="Times New Roman" w:eastAsia="Times New Roman" w:hAnsi="Times New Roman"/>
      <w:sz w:val="24"/>
      <w:szCs w:val="24"/>
      <w:lang w:val="en-GB" w:eastAsia="en-GB"/>
    </w:rPr>
  </w:style>
  <w:style w:type="character" w:customStyle="1" w:styleId="FooterChar">
    <w:name w:val="Footer Char"/>
    <w:basedOn w:val="DefaultParagraphFont"/>
    <w:link w:val="Footer"/>
    <w:rsid w:val="00AE2500"/>
    <w:rPr>
      <w:rFonts w:ascii="Times New Roman" w:eastAsia="Times New Roman" w:hAnsi="Times New Roman"/>
      <w:sz w:val="24"/>
      <w:szCs w:val="24"/>
      <w:lang w:val="en-GB" w:eastAsia="en-GB"/>
    </w:rPr>
  </w:style>
  <w:style w:type="paragraph" w:styleId="FootnoteText">
    <w:name w:val="footnote text"/>
    <w:basedOn w:val="Normal"/>
    <w:link w:val="FootnoteTextChar"/>
    <w:uiPriority w:val="99"/>
    <w:semiHidden/>
    <w:unhideWhenUsed/>
    <w:rsid w:val="00DA1D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1D9D"/>
    <w:rPr>
      <w:lang w:eastAsia="en-US"/>
    </w:rPr>
  </w:style>
  <w:style w:type="character" w:styleId="FootnoteReference">
    <w:name w:val="footnote reference"/>
    <w:basedOn w:val="DefaultParagraphFont"/>
    <w:uiPriority w:val="99"/>
    <w:semiHidden/>
    <w:unhideWhenUsed/>
    <w:rsid w:val="00DA1D9D"/>
    <w:rPr>
      <w:vertAlign w:val="superscript"/>
    </w:rPr>
  </w:style>
  <w:style w:type="paragraph" w:styleId="BalloonText">
    <w:name w:val="Balloon Text"/>
    <w:basedOn w:val="Normal"/>
    <w:link w:val="BalloonTextChar"/>
    <w:uiPriority w:val="99"/>
    <w:semiHidden/>
    <w:unhideWhenUsed/>
    <w:rsid w:val="00382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89A"/>
    <w:rPr>
      <w:rFonts w:ascii="Tahoma" w:hAnsi="Tahoma" w:cs="Tahoma"/>
      <w:sz w:val="16"/>
      <w:szCs w:val="16"/>
      <w:lang w:eastAsia="en-US"/>
    </w:rPr>
  </w:style>
  <w:style w:type="character" w:styleId="CommentReference">
    <w:name w:val="annotation reference"/>
    <w:basedOn w:val="DefaultParagraphFont"/>
    <w:uiPriority w:val="99"/>
    <w:semiHidden/>
    <w:unhideWhenUsed/>
    <w:rsid w:val="005A1C77"/>
    <w:rPr>
      <w:sz w:val="16"/>
      <w:szCs w:val="16"/>
    </w:rPr>
  </w:style>
  <w:style w:type="paragraph" w:styleId="CommentText">
    <w:name w:val="annotation text"/>
    <w:basedOn w:val="Normal"/>
    <w:link w:val="CommentTextChar"/>
    <w:uiPriority w:val="99"/>
    <w:semiHidden/>
    <w:unhideWhenUsed/>
    <w:rsid w:val="005A1C77"/>
    <w:pPr>
      <w:spacing w:line="240" w:lineRule="auto"/>
    </w:pPr>
    <w:rPr>
      <w:sz w:val="20"/>
      <w:szCs w:val="20"/>
    </w:rPr>
  </w:style>
  <w:style w:type="character" w:customStyle="1" w:styleId="CommentTextChar">
    <w:name w:val="Comment Text Char"/>
    <w:basedOn w:val="DefaultParagraphFont"/>
    <w:link w:val="CommentText"/>
    <w:uiPriority w:val="99"/>
    <w:semiHidden/>
    <w:rsid w:val="005A1C77"/>
    <w:rPr>
      <w:lang w:eastAsia="en-US"/>
    </w:rPr>
  </w:style>
  <w:style w:type="paragraph" w:styleId="CommentSubject">
    <w:name w:val="annotation subject"/>
    <w:basedOn w:val="CommentText"/>
    <w:next w:val="CommentText"/>
    <w:link w:val="CommentSubjectChar"/>
    <w:uiPriority w:val="99"/>
    <w:semiHidden/>
    <w:unhideWhenUsed/>
    <w:rsid w:val="005A1C77"/>
    <w:rPr>
      <w:b/>
      <w:bCs/>
    </w:rPr>
  </w:style>
  <w:style w:type="character" w:customStyle="1" w:styleId="CommentSubjectChar">
    <w:name w:val="Comment Subject Char"/>
    <w:basedOn w:val="CommentTextChar"/>
    <w:link w:val="CommentSubject"/>
    <w:uiPriority w:val="99"/>
    <w:semiHidden/>
    <w:rsid w:val="005A1C77"/>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4F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F5D"/>
    <w:pPr>
      <w:ind w:left="720"/>
      <w:contextualSpacing/>
    </w:pPr>
  </w:style>
  <w:style w:type="paragraph" w:styleId="Footer">
    <w:name w:val="footer"/>
    <w:basedOn w:val="Normal"/>
    <w:link w:val="FooterChar"/>
    <w:rsid w:val="00AE2500"/>
    <w:pPr>
      <w:tabs>
        <w:tab w:val="center" w:pos="4153"/>
        <w:tab w:val="right" w:pos="8306"/>
      </w:tabs>
      <w:spacing w:after="0" w:line="240" w:lineRule="auto"/>
    </w:pPr>
    <w:rPr>
      <w:rFonts w:ascii="Times New Roman" w:eastAsia="Times New Roman" w:hAnsi="Times New Roman"/>
      <w:sz w:val="24"/>
      <w:szCs w:val="24"/>
      <w:lang w:val="en-GB" w:eastAsia="en-GB"/>
    </w:rPr>
  </w:style>
  <w:style w:type="character" w:customStyle="1" w:styleId="FooterChar">
    <w:name w:val="Footer Char"/>
    <w:basedOn w:val="DefaultParagraphFont"/>
    <w:link w:val="Footer"/>
    <w:rsid w:val="00AE2500"/>
    <w:rPr>
      <w:rFonts w:ascii="Times New Roman" w:eastAsia="Times New Roman" w:hAnsi="Times New Roman"/>
      <w:sz w:val="24"/>
      <w:szCs w:val="24"/>
      <w:lang w:val="en-GB" w:eastAsia="en-GB"/>
    </w:rPr>
  </w:style>
  <w:style w:type="paragraph" w:styleId="FootnoteText">
    <w:name w:val="footnote text"/>
    <w:basedOn w:val="Normal"/>
    <w:link w:val="FootnoteTextChar"/>
    <w:uiPriority w:val="99"/>
    <w:semiHidden/>
    <w:unhideWhenUsed/>
    <w:rsid w:val="00DA1D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1D9D"/>
    <w:rPr>
      <w:lang w:eastAsia="en-US"/>
    </w:rPr>
  </w:style>
  <w:style w:type="character" w:styleId="FootnoteReference">
    <w:name w:val="footnote reference"/>
    <w:basedOn w:val="DefaultParagraphFont"/>
    <w:uiPriority w:val="99"/>
    <w:semiHidden/>
    <w:unhideWhenUsed/>
    <w:rsid w:val="00DA1D9D"/>
    <w:rPr>
      <w:vertAlign w:val="superscript"/>
    </w:rPr>
  </w:style>
  <w:style w:type="paragraph" w:styleId="BalloonText">
    <w:name w:val="Balloon Text"/>
    <w:basedOn w:val="Normal"/>
    <w:link w:val="BalloonTextChar"/>
    <w:uiPriority w:val="99"/>
    <w:semiHidden/>
    <w:unhideWhenUsed/>
    <w:rsid w:val="00382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89A"/>
    <w:rPr>
      <w:rFonts w:ascii="Tahoma" w:hAnsi="Tahoma" w:cs="Tahoma"/>
      <w:sz w:val="16"/>
      <w:szCs w:val="16"/>
      <w:lang w:eastAsia="en-US"/>
    </w:rPr>
  </w:style>
  <w:style w:type="character" w:styleId="CommentReference">
    <w:name w:val="annotation reference"/>
    <w:basedOn w:val="DefaultParagraphFont"/>
    <w:uiPriority w:val="99"/>
    <w:semiHidden/>
    <w:unhideWhenUsed/>
    <w:rsid w:val="005A1C77"/>
    <w:rPr>
      <w:sz w:val="16"/>
      <w:szCs w:val="16"/>
    </w:rPr>
  </w:style>
  <w:style w:type="paragraph" w:styleId="CommentText">
    <w:name w:val="annotation text"/>
    <w:basedOn w:val="Normal"/>
    <w:link w:val="CommentTextChar"/>
    <w:uiPriority w:val="99"/>
    <w:semiHidden/>
    <w:unhideWhenUsed/>
    <w:rsid w:val="005A1C77"/>
    <w:pPr>
      <w:spacing w:line="240" w:lineRule="auto"/>
    </w:pPr>
    <w:rPr>
      <w:sz w:val="20"/>
      <w:szCs w:val="20"/>
    </w:rPr>
  </w:style>
  <w:style w:type="character" w:customStyle="1" w:styleId="CommentTextChar">
    <w:name w:val="Comment Text Char"/>
    <w:basedOn w:val="DefaultParagraphFont"/>
    <w:link w:val="CommentText"/>
    <w:uiPriority w:val="99"/>
    <w:semiHidden/>
    <w:rsid w:val="005A1C77"/>
    <w:rPr>
      <w:lang w:eastAsia="en-US"/>
    </w:rPr>
  </w:style>
  <w:style w:type="paragraph" w:styleId="CommentSubject">
    <w:name w:val="annotation subject"/>
    <w:basedOn w:val="CommentText"/>
    <w:next w:val="CommentText"/>
    <w:link w:val="CommentSubjectChar"/>
    <w:uiPriority w:val="99"/>
    <w:semiHidden/>
    <w:unhideWhenUsed/>
    <w:rsid w:val="005A1C77"/>
    <w:rPr>
      <w:b/>
      <w:bCs/>
    </w:rPr>
  </w:style>
  <w:style w:type="character" w:customStyle="1" w:styleId="CommentSubjectChar">
    <w:name w:val="Comment Subject Char"/>
    <w:basedOn w:val="CommentTextChar"/>
    <w:link w:val="CommentSubject"/>
    <w:uiPriority w:val="99"/>
    <w:semiHidden/>
    <w:rsid w:val="005A1C7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632107">
      <w:bodyDiv w:val="1"/>
      <w:marLeft w:val="0"/>
      <w:marRight w:val="0"/>
      <w:marTop w:val="0"/>
      <w:marBottom w:val="0"/>
      <w:divBdr>
        <w:top w:val="none" w:sz="0" w:space="0" w:color="auto"/>
        <w:left w:val="none" w:sz="0" w:space="0" w:color="auto"/>
        <w:bottom w:val="none" w:sz="0" w:space="0" w:color="auto"/>
        <w:right w:val="none" w:sz="0" w:space="0" w:color="auto"/>
      </w:divBdr>
    </w:div>
    <w:div w:id="3732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1D353-3B64-4A38-9F4F-2AA04B988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10079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cmps073</dc:creator>
  <cp:lastModifiedBy>Rhodes</cp:lastModifiedBy>
  <cp:revision>25</cp:revision>
  <cp:lastPrinted>2011-10-13T09:28:00Z</cp:lastPrinted>
  <dcterms:created xsi:type="dcterms:W3CDTF">2011-11-15T20:58:00Z</dcterms:created>
  <dcterms:modified xsi:type="dcterms:W3CDTF">2011-11-27T19:22:00Z</dcterms:modified>
</cp:coreProperties>
</file>