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24" w:rsidRDefault="009A5C24" w:rsidP="009A5C24">
      <w:pPr>
        <w:pStyle w:val="Header"/>
        <w:keepNext/>
        <w:keepLines/>
        <w:tabs>
          <w:tab w:val="clear" w:pos="4153"/>
          <w:tab w:val="clear" w:pos="8306"/>
        </w:tabs>
        <w:jc w:val="both"/>
        <w:rPr>
          <w:rFonts w:ascii="Calibri" w:hAnsi="Calibri"/>
          <w:color w:val="000000"/>
        </w:rPr>
      </w:pPr>
    </w:p>
    <w:p w:rsidR="009A5C24" w:rsidRDefault="009A5C24" w:rsidP="009A5C24">
      <w:pPr>
        <w:pStyle w:val="Header"/>
        <w:keepNext/>
        <w:keepLines/>
        <w:tabs>
          <w:tab w:val="clear" w:pos="4153"/>
          <w:tab w:val="clear" w:pos="8306"/>
        </w:tabs>
        <w:jc w:val="both"/>
        <w:rPr>
          <w:rFonts w:ascii="Calibri" w:hAnsi="Calibri"/>
          <w:color w:val="000000"/>
        </w:rPr>
      </w:pPr>
    </w:p>
    <w:p w:rsidR="009A5C24" w:rsidRPr="009A5C24" w:rsidRDefault="009A5C24" w:rsidP="009A5C24">
      <w:pPr>
        <w:pStyle w:val="Header"/>
        <w:keepNext/>
        <w:keepLines/>
        <w:tabs>
          <w:tab w:val="clear" w:pos="4153"/>
          <w:tab w:val="clear" w:pos="8306"/>
        </w:tabs>
        <w:jc w:val="both"/>
        <w:rPr>
          <w:rFonts w:ascii="Calibri" w:hAnsi="Calibri"/>
          <w:b/>
          <w:color w:val="000000"/>
          <w:sz w:val="36"/>
          <w:szCs w:val="36"/>
        </w:rPr>
      </w:pPr>
    </w:p>
    <w:p w:rsidR="009A5C24" w:rsidRPr="009A5C24" w:rsidRDefault="009A5C24" w:rsidP="009A5C24">
      <w:pPr>
        <w:pStyle w:val="Header"/>
        <w:keepNext/>
        <w:keepLines/>
        <w:tabs>
          <w:tab w:val="clear" w:pos="4153"/>
          <w:tab w:val="clear" w:pos="8306"/>
        </w:tabs>
        <w:jc w:val="both"/>
        <w:rPr>
          <w:rFonts w:ascii="Calibri" w:hAnsi="Calibri"/>
          <w:b/>
          <w:color w:val="000000"/>
          <w:sz w:val="36"/>
          <w:szCs w:val="36"/>
        </w:rPr>
      </w:pPr>
      <w:r w:rsidRPr="009A5C24">
        <w:rPr>
          <w:rFonts w:ascii="Calibri" w:hAnsi="Calibri"/>
          <w:b/>
          <w:color w:val="000000"/>
          <w:sz w:val="36"/>
          <w:szCs w:val="36"/>
        </w:rPr>
        <w:t>Extract from the Staff Disciplinary Code (updated September 2011)</w:t>
      </w:r>
    </w:p>
    <w:p w:rsidR="009A5C24" w:rsidRDefault="009A5C24" w:rsidP="009A5C24">
      <w:pPr>
        <w:pStyle w:val="Header"/>
        <w:keepNext/>
        <w:keepLines/>
        <w:tabs>
          <w:tab w:val="clear" w:pos="4153"/>
          <w:tab w:val="clear" w:pos="8306"/>
        </w:tabs>
        <w:jc w:val="both"/>
        <w:rPr>
          <w:rFonts w:ascii="Calibri" w:hAnsi="Calibri"/>
          <w:color w:val="000000"/>
        </w:rPr>
      </w:pPr>
    </w:p>
    <w:p w:rsidR="009A5C24" w:rsidRDefault="009A5C24" w:rsidP="009A5C24">
      <w:pPr>
        <w:pStyle w:val="Header"/>
        <w:keepNext/>
        <w:keepLines/>
        <w:tabs>
          <w:tab w:val="clear" w:pos="4153"/>
          <w:tab w:val="clear" w:pos="8306"/>
        </w:tabs>
        <w:jc w:val="both"/>
        <w:rPr>
          <w:rFonts w:ascii="Calibri" w:hAnsi="Calibri"/>
          <w:color w:val="000000"/>
        </w:rPr>
      </w:pPr>
    </w:p>
    <w:p w:rsidR="009A5C24" w:rsidRPr="00275391" w:rsidRDefault="009A5C24" w:rsidP="009A5C24">
      <w:pPr>
        <w:pStyle w:val="Header"/>
        <w:keepNext/>
        <w:keepLines/>
        <w:tabs>
          <w:tab w:val="clear" w:pos="4153"/>
          <w:tab w:val="clear" w:pos="8306"/>
        </w:tabs>
        <w:jc w:val="both"/>
        <w:rPr>
          <w:rFonts w:asciiTheme="minorHAnsi" w:hAnsiTheme="minorHAnsi"/>
          <w:color w:val="000000"/>
          <w:sz w:val="22"/>
          <w:szCs w:val="22"/>
        </w:rPr>
      </w:pPr>
      <w:r w:rsidRPr="00275391">
        <w:rPr>
          <w:rFonts w:asciiTheme="minorHAnsi" w:hAnsiTheme="minorHAnsi"/>
          <w:color w:val="000000"/>
          <w:sz w:val="22"/>
          <w:szCs w:val="22"/>
        </w:rPr>
        <w:t xml:space="preserve">5.2.5 </w:t>
      </w:r>
      <w:r w:rsidRPr="00275391">
        <w:rPr>
          <w:rFonts w:asciiTheme="minorHAnsi" w:hAnsiTheme="minorHAnsi"/>
          <w:color w:val="000000"/>
          <w:sz w:val="22"/>
          <w:szCs w:val="22"/>
        </w:rPr>
        <w:t>Within two (2)</w:t>
      </w:r>
      <w:r w:rsidRPr="00275391">
        <w:rPr>
          <w:rFonts w:asciiTheme="minorHAnsi" w:hAnsiTheme="minorHAnsi"/>
          <w:b/>
          <w:bCs/>
          <w:i/>
          <w:iCs/>
          <w:color w:val="000000"/>
          <w:sz w:val="22"/>
          <w:szCs w:val="22"/>
        </w:rPr>
        <w:t xml:space="preserve"> days </w:t>
      </w:r>
      <w:r w:rsidRPr="00275391">
        <w:rPr>
          <w:rFonts w:asciiTheme="minorHAnsi" w:hAnsiTheme="minorHAnsi"/>
          <w:color w:val="000000"/>
          <w:sz w:val="22"/>
          <w:szCs w:val="22"/>
        </w:rPr>
        <w:t xml:space="preserve">of receipt of a </w:t>
      </w:r>
      <w:r w:rsidRPr="00275391">
        <w:rPr>
          <w:rFonts w:asciiTheme="minorHAnsi" w:hAnsiTheme="minorHAnsi"/>
          <w:b/>
          <w:i/>
          <w:color w:val="000000"/>
          <w:sz w:val="22"/>
          <w:szCs w:val="22"/>
        </w:rPr>
        <w:t>written warning letter</w:t>
      </w:r>
      <w:r w:rsidRPr="00275391">
        <w:rPr>
          <w:rFonts w:asciiTheme="minorHAnsi" w:hAnsiTheme="minorHAnsi"/>
          <w:color w:val="000000"/>
          <w:sz w:val="22"/>
          <w:szCs w:val="22"/>
        </w:rPr>
        <w:t xml:space="preserve">, the </w:t>
      </w:r>
      <w:r w:rsidRPr="00275391">
        <w:rPr>
          <w:rFonts w:asciiTheme="minorHAnsi" w:hAnsiTheme="minorHAnsi"/>
          <w:b/>
          <w:i/>
          <w:color w:val="000000"/>
          <w:sz w:val="22"/>
          <w:szCs w:val="22"/>
        </w:rPr>
        <w:t>employee</w:t>
      </w:r>
      <w:r w:rsidRPr="00275391">
        <w:rPr>
          <w:rFonts w:asciiTheme="minorHAnsi" w:hAnsiTheme="minorHAnsi"/>
          <w:color w:val="000000"/>
          <w:sz w:val="22"/>
          <w:szCs w:val="22"/>
        </w:rPr>
        <w:t xml:space="preserve"> may request the Human Resources Division, in writing, to have the letter reviewed by an impartial person appointed by the Vice-Chancellor or Deputy Vice-Chancellor: Academic and Student Affairs in the case of academic staff and the Registrar: Finance and Operations in the case of support staff.  The grounds for the request must be set out in writing.</w:t>
      </w:r>
    </w:p>
    <w:p w:rsidR="009A5C24" w:rsidRPr="00275391" w:rsidRDefault="009A5C24" w:rsidP="009A5C24">
      <w:pPr>
        <w:pStyle w:val="Header"/>
        <w:tabs>
          <w:tab w:val="clear" w:pos="4153"/>
          <w:tab w:val="clear" w:pos="8306"/>
        </w:tabs>
        <w:ind w:left="1440"/>
        <w:jc w:val="both"/>
        <w:rPr>
          <w:rFonts w:asciiTheme="minorHAnsi" w:hAnsiTheme="minorHAnsi"/>
          <w:color w:val="000000"/>
          <w:sz w:val="22"/>
          <w:szCs w:val="22"/>
        </w:rPr>
      </w:pPr>
    </w:p>
    <w:p w:rsidR="009A5C24" w:rsidRPr="00275391" w:rsidRDefault="009A5C24" w:rsidP="009A5C24">
      <w:pPr>
        <w:pStyle w:val="Header"/>
        <w:tabs>
          <w:tab w:val="clear" w:pos="4153"/>
          <w:tab w:val="clear" w:pos="8306"/>
        </w:tabs>
        <w:jc w:val="both"/>
        <w:rPr>
          <w:rFonts w:asciiTheme="minorHAnsi" w:hAnsiTheme="minorHAnsi"/>
          <w:color w:val="000000"/>
          <w:sz w:val="22"/>
          <w:szCs w:val="22"/>
        </w:rPr>
      </w:pPr>
      <w:r w:rsidRPr="00275391">
        <w:rPr>
          <w:rFonts w:asciiTheme="minorHAnsi" w:hAnsiTheme="minorHAnsi"/>
          <w:color w:val="000000"/>
          <w:sz w:val="22"/>
          <w:szCs w:val="22"/>
        </w:rPr>
        <w:t xml:space="preserve">The person so appointed shall consider the reasons for the issuing of the letter, the objections thereto, and may at their own discretion, or, where so requested by either party, interview the </w:t>
      </w:r>
      <w:r w:rsidRPr="00275391">
        <w:rPr>
          <w:rFonts w:asciiTheme="minorHAnsi" w:hAnsiTheme="minorHAnsi"/>
          <w:b/>
          <w:i/>
          <w:color w:val="000000"/>
          <w:sz w:val="22"/>
          <w:szCs w:val="22"/>
        </w:rPr>
        <w:t>employee</w:t>
      </w:r>
      <w:r w:rsidRPr="00275391">
        <w:rPr>
          <w:rFonts w:asciiTheme="minorHAnsi" w:hAnsiTheme="minorHAnsi"/>
          <w:color w:val="000000"/>
          <w:sz w:val="22"/>
          <w:szCs w:val="22"/>
        </w:rPr>
        <w:t xml:space="preserve"> and / or their </w:t>
      </w:r>
      <w:r w:rsidRPr="00275391">
        <w:rPr>
          <w:rFonts w:asciiTheme="minorHAnsi" w:hAnsiTheme="minorHAnsi"/>
          <w:b/>
          <w:i/>
          <w:color w:val="000000"/>
          <w:sz w:val="22"/>
          <w:szCs w:val="22"/>
        </w:rPr>
        <w:t>representative</w:t>
      </w:r>
      <w:r w:rsidRPr="00275391">
        <w:rPr>
          <w:rFonts w:asciiTheme="minorHAnsi" w:hAnsiTheme="minorHAnsi"/>
          <w:color w:val="000000"/>
          <w:sz w:val="22"/>
          <w:szCs w:val="22"/>
        </w:rPr>
        <w:t xml:space="preserve"> and the </w:t>
      </w:r>
      <w:r w:rsidRPr="00275391">
        <w:rPr>
          <w:rFonts w:asciiTheme="minorHAnsi" w:hAnsiTheme="minorHAnsi"/>
          <w:b/>
          <w:bCs/>
          <w:i/>
          <w:iCs/>
          <w:color w:val="000000"/>
          <w:sz w:val="22"/>
          <w:szCs w:val="22"/>
        </w:rPr>
        <w:t>Head of Department</w:t>
      </w:r>
      <w:r w:rsidRPr="00275391">
        <w:rPr>
          <w:rFonts w:asciiTheme="minorHAnsi" w:hAnsiTheme="minorHAnsi"/>
          <w:color w:val="000000"/>
          <w:sz w:val="22"/>
          <w:szCs w:val="22"/>
        </w:rPr>
        <w:t xml:space="preserve"> and / or Section or </w:t>
      </w:r>
      <w:r w:rsidRPr="00275391">
        <w:rPr>
          <w:rFonts w:asciiTheme="minorHAnsi" w:hAnsiTheme="minorHAnsi"/>
          <w:b/>
          <w:bCs/>
          <w:i/>
          <w:iCs/>
          <w:color w:val="000000"/>
          <w:sz w:val="22"/>
          <w:szCs w:val="22"/>
        </w:rPr>
        <w:t>Supervisor</w:t>
      </w:r>
      <w:r w:rsidRPr="00275391">
        <w:rPr>
          <w:rFonts w:asciiTheme="minorHAnsi" w:hAnsiTheme="minorHAnsi"/>
          <w:color w:val="000000"/>
          <w:sz w:val="22"/>
          <w:szCs w:val="22"/>
        </w:rPr>
        <w:t xml:space="preserve"> concerned.</w:t>
      </w:r>
    </w:p>
    <w:p w:rsidR="009A5C24" w:rsidRPr="00275391" w:rsidRDefault="009A5C24" w:rsidP="009A5C24">
      <w:pPr>
        <w:pStyle w:val="Header"/>
        <w:tabs>
          <w:tab w:val="clear" w:pos="4153"/>
          <w:tab w:val="clear" w:pos="8306"/>
        </w:tabs>
        <w:ind w:left="1440"/>
        <w:jc w:val="both"/>
        <w:rPr>
          <w:rFonts w:asciiTheme="minorHAnsi" w:hAnsiTheme="minorHAnsi"/>
          <w:color w:val="000000"/>
          <w:sz w:val="22"/>
          <w:szCs w:val="22"/>
        </w:rPr>
      </w:pPr>
    </w:p>
    <w:p w:rsidR="009A5C24" w:rsidRPr="00275391" w:rsidRDefault="009A5C24" w:rsidP="009A5C24">
      <w:pPr>
        <w:pStyle w:val="Header"/>
        <w:tabs>
          <w:tab w:val="clear" w:pos="4153"/>
          <w:tab w:val="clear" w:pos="8306"/>
        </w:tabs>
        <w:jc w:val="both"/>
        <w:rPr>
          <w:rFonts w:asciiTheme="minorHAnsi" w:hAnsiTheme="minorHAnsi"/>
          <w:color w:val="000000"/>
          <w:sz w:val="22"/>
          <w:szCs w:val="22"/>
        </w:rPr>
      </w:pPr>
      <w:r w:rsidRPr="00275391">
        <w:rPr>
          <w:rFonts w:asciiTheme="minorHAnsi" w:hAnsiTheme="minorHAnsi"/>
          <w:color w:val="000000"/>
          <w:sz w:val="22"/>
          <w:szCs w:val="22"/>
        </w:rPr>
        <w:t xml:space="preserve">The </w:t>
      </w:r>
      <w:r w:rsidRPr="00275391">
        <w:rPr>
          <w:rFonts w:asciiTheme="minorHAnsi" w:hAnsiTheme="minorHAnsi"/>
          <w:b/>
          <w:i/>
          <w:color w:val="000000"/>
          <w:sz w:val="22"/>
          <w:szCs w:val="22"/>
        </w:rPr>
        <w:t>employee</w:t>
      </w:r>
      <w:r w:rsidRPr="00275391">
        <w:rPr>
          <w:rFonts w:asciiTheme="minorHAnsi" w:hAnsiTheme="minorHAnsi"/>
          <w:color w:val="000000"/>
          <w:sz w:val="22"/>
          <w:szCs w:val="22"/>
        </w:rPr>
        <w:t xml:space="preserve"> shall be informed in writing within twenty-five (25)</w:t>
      </w:r>
      <w:r w:rsidRPr="00275391">
        <w:rPr>
          <w:rFonts w:asciiTheme="minorHAnsi" w:hAnsiTheme="minorHAnsi"/>
          <w:b/>
          <w:bCs/>
          <w:i/>
          <w:iCs/>
          <w:color w:val="000000"/>
          <w:sz w:val="22"/>
          <w:szCs w:val="22"/>
        </w:rPr>
        <w:t xml:space="preserve"> days </w:t>
      </w:r>
      <w:r w:rsidRPr="00275391">
        <w:rPr>
          <w:rFonts w:asciiTheme="minorHAnsi" w:hAnsiTheme="minorHAnsi"/>
          <w:color w:val="000000"/>
          <w:sz w:val="22"/>
          <w:szCs w:val="22"/>
        </w:rPr>
        <w:t xml:space="preserve">of the decision which shall either be to reject or confirm the </w:t>
      </w:r>
      <w:r w:rsidRPr="00275391">
        <w:rPr>
          <w:rFonts w:asciiTheme="minorHAnsi" w:hAnsiTheme="minorHAnsi"/>
          <w:b/>
          <w:i/>
          <w:color w:val="000000"/>
          <w:sz w:val="22"/>
          <w:szCs w:val="22"/>
        </w:rPr>
        <w:t>warning letter</w:t>
      </w:r>
      <w:r w:rsidRPr="00275391">
        <w:rPr>
          <w:rFonts w:asciiTheme="minorHAnsi" w:hAnsiTheme="minorHAnsi"/>
          <w:color w:val="000000"/>
          <w:sz w:val="22"/>
          <w:szCs w:val="22"/>
        </w:rPr>
        <w:t xml:space="preserve">.  The decision shall be final. </w:t>
      </w:r>
    </w:p>
    <w:p w:rsidR="00121B43" w:rsidRPr="00275391" w:rsidRDefault="003E11F6">
      <w:pPr>
        <w:rPr>
          <w:rFonts w:asciiTheme="minorHAnsi" w:hAnsiTheme="minorHAnsi"/>
          <w:sz w:val="22"/>
          <w:szCs w:val="22"/>
        </w:rPr>
      </w:pPr>
    </w:p>
    <w:p w:rsidR="009A5C24" w:rsidRPr="00275391" w:rsidRDefault="009A5C24">
      <w:pPr>
        <w:rPr>
          <w:rFonts w:asciiTheme="minorHAnsi" w:hAnsiTheme="minorHAnsi"/>
          <w:sz w:val="22"/>
          <w:szCs w:val="22"/>
        </w:rPr>
      </w:pPr>
    </w:p>
    <w:p w:rsidR="009A5C24" w:rsidRPr="00275391" w:rsidRDefault="009A5C24">
      <w:pPr>
        <w:rPr>
          <w:rFonts w:asciiTheme="minorHAnsi" w:hAnsiTheme="minorHAnsi"/>
          <w:sz w:val="22"/>
          <w:szCs w:val="22"/>
        </w:rPr>
      </w:pPr>
      <w:r w:rsidRPr="00275391">
        <w:rPr>
          <w:rFonts w:asciiTheme="minorHAnsi" w:hAnsiTheme="minorHAnsi"/>
          <w:sz w:val="22"/>
          <w:szCs w:val="22"/>
        </w:rPr>
        <w:t>Please note the following:</w:t>
      </w:r>
    </w:p>
    <w:p w:rsidR="009A5C24" w:rsidRPr="00275391" w:rsidRDefault="009A5C24" w:rsidP="009A5C24">
      <w:pPr>
        <w:pStyle w:val="ListParagraph"/>
        <w:numPr>
          <w:ilvl w:val="0"/>
          <w:numId w:val="1"/>
        </w:numPr>
        <w:rPr>
          <w:rFonts w:asciiTheme="minorHAnsi" w:hAnsiTheme="minorHAnsi"/>
          <w:sz w:val="22"/>
          <w:szCs w:val="22"/>
        </w:rPr>
      </w:pPr>
      <w:r w:rsidRPr="00275391">
        <w:rPr>
          <w:rFonts w:asciiTheme="minorHAnsi" w:hAnsiTheme="minorHAnsi"/>
          <w:sz w:val="22"/>
          <w:szCs w:val="22"/>
        </w:rPr>
        <w:t>An appeal is only for a written warning letter or a final written warning letter. There is no appeal for a verbal warning;</w:t>
      </w:r>
    </w:p>
    <w:p w:rsidR="009A5C24" w:rsidRPr="00275391" w:rsidRDefault="009A5C24" w:rsidP="009A5C24">
      <w:pPr>
        <w:pStyle w:val="ListParagraph"/>
        <w:numPr>
          <w:ilvl w:val="0"/>
          <w:numId w:val="1"/>
        </w:numPr>
        <w:rPr>
          <w:rFonts w:asciiTheme="minorHAnsi" w:hAnsiTheme="minorHAnsi"/>
          <w:sz w:val="22"/>
          <w:szCs w:val="22"/>
        </w:rPr>
      </w:pPr>
      <w:r w:rsidRPr="00275391">
        <w:rPr>
          <w:rFonts w:asciiTheme="minorHAnsi" w:hAnsiTheme="minorHAnsi"/>
          <w:sz w:val="22"/>
          <w:szCs w:val="22"/>
        </w:rPr>
        <w:t>Appeal Chairpersons may be internal or external to Rhodes University;</w:t>
      </w:r>
    </w:p>
    <w:p w:rsidR="009A5C24" w:rsidRPr="00275391" w:rsidRDefault="009A5C24" w:rsidP="009A5C24">
      <w:pPr>
        <w:pStyle w:val="ListParagraph"/>
        <w:numPr>
          <w:ilvl w:val="0"/>
          <w:numId w:val="1"/>
        </w:numPr>
        <w:rPr>
          <w:rFonts w:asciiTheme="minorHAnsi" w:hAnsiTheme="minorHAnsi"/>
          <w:sz w:val="22"/>
          <w:szCs w:val="22"/>
        </w:rPr>
      </w:pPr>
      <w:r w:rsidRPr="00275391">
        <w:rPr>
          <w:rFonts w:asciiTheme="minorHAnsi" w:hAnsiTheme="minorHAnsi"/>
          <w:sz w:val="22"/>
          <w:szCs w:val="22"/>
        </w:rPr>
        <w:t>You must have reasons for the appeal in term of procedural or substantive fairness;</w:t>
      </w:r>
    </w:p>
    <w:p w:rsidR="009A5C24" w:rsidRPr="00275391" w:rsidRDefault="009A5C24" w:rsidP="009A5C24">
      <w:pPr>
        <w:pStyle w:val="ListParagraph"/>
        <w:numPr>
          <w:ilvl w:val="0"/>
          <w:numId w:val="1"/>
        </w:numPr>
        <w:rPr>
          <w:rFonts w:asciiTheme="minorHAnsi" w:hAnsiTheme="minorHAnsi"/>
          <w:sz w:val="22"/>
          <w:szCs w:val="22"/>
        </w:rPr>
      </w:pPr>
      <w:r w:rsidRPr="00275391">
        <w:rPr>
          <w:rFonts w:asciiTheme="minorHAnsi" w:hAnsiTheme="minorHAnsi"/>
          <w:sz w:val="22"/>
          <w:szCs w:val="22"/>
        </w:rPr>
        <w:t>The Chairperson will decide on how to proceed with the appeal. The options available to him/her are:</w:t>
      </w:r>
    </w:p>
    <w:p w:rsidR="009A5C24" w:rsidRDefault="003E11F6" w:rsidP="009A5C24">
      <w:pPr>
        <w:pStyle w:val="ListParagraph"/>
        <w:numPr>
          <w:ilvl w:val="1"/>
          <w:numId w:val="1"/>
        </w:numPr>
        <w:rPr>
          <w:rFonts w:asciiTheme="minorHAnsi" w:hAnsiTheme="minorHAnsi"/>
          <w:sz w:val="22"/>
          <w:szCs w:val="22"/>
        </w:rPr>
      </w:pPr>
      <w:r>
        <w:rPr>
          <w:rFonts w:asciiTheme="minorHAnsi" w:hAnsiTheme="minorHAnsi"/>
          <w:sz w:val="22"/>
          <w:szCs w:val="22"/>
        </w:rPr>
        <w:t>To review all the documentation from the original hearing;</w:t>
      </w:r>
    </w:p>
    <w:p w:rsidR="003E11F6" w:rsidRDefault="003E11F6" w:rsidP="009A5C24">
      <w:pPr>
        <w:pStyle w:val="ListParagraph"/>
        <w:numPr>
          <w:ilvl w:val="1"/>
          <w:numId w:val="1"/>
        </w:numPr>
        <w:rPr>
          <w:rFonts w:asciiTheme="minorHAnsi" w:hAnsiTheme="minorHAnsi"/>
          <w:sz w:val="22"/>
          <w:szCs w:val="22"/>
        </w:rPr>
      </w:pPr>
      <w:r>
        <w:rPr>
          <w:rFonts w:asciiTheme="minorHAnsi" w:hAnsiTheme="minorHAnsi"/>
          <w:sz w:val="22"/>
          <w:szCs w:val="22"/>
        </w:rPr>
        <w:t>To review all the documentation from the original hearing plus to hear additional evidence on specific issues;</w:t>
      </w:r>
    </w:p>
    <w:p w:rsidR="003E11F6" w:rsidRDefault="003E11F6" w:rsidP="003E11F6">
      <w:pPr>
        <w:pStyle w:val="ListParagraph"/>
        <w:numPr>
          <w:ilvl w:val="1"/>
          <w:numId w:val="1"/>
        </w:numPr>
        <w:rPr>
          <w:rFonts w:asciiTheme="minorHAnsi" w:hAnsiTheme="minorHAnsi"/>
          <w:sz w:val="22"/>
          <w:szCs w:val="22"/>
        </w:rPr>
      </w:pPr>
      <w:r>
        <w:rPr>
          <w:rFonts w:asciiTheme="minorHAnsi" w:hAnsiTheme="minorHAnsi"/>
          <w:sz w:val="22"/>
          <w:szCs w:val="22"/>
        </w:rPr>
        <w:t>To require that the hearing is run again, from the beginning.</w:t>
      </w:r>
    </w:p>
    <w:p w:rsidR="003E11F6" w:rsidRPr="003E11F6" w:rsidRDefault="003E11F6" w:rsidP="003E11F6">
      <w:pPr>
        <w:pStyle w:val="ListParagraph"/>
        <w:ind w:left="1440"/>
        <w:rPr>
          <w:rFonts w:asciiTheme="minorHAnsi" w:hAnsiTheme="minorHAnsi"/>
          <w:sz w:val="22"/>
          <w:szCs w:val="22"/>
        </w:rPr>
      </w:pPr>
      <w:bookmarkStart w:id="0" w:name="_GoBack"/>
      <w:bookmarkEnd w:id="0"/>
    </w:p>
    <w:p w:rsidR="009A5C24" w:rsidRDefault="009A5C24" w:rsidP="009A5C24"/>
    <w:sectPr w:rsidR="009A5C24" w:rsidSect="009A5C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65797"/>
    <w:multiLevelType w:val="hybridMultilevel"/>
    <w:tmpl w:val="81B68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24"/>
    <w:rsid w:val="00275391"/>
    <w:rsid w:val="003E11F6"/>
    <w:rsid w:val="00615A5F"/>
    <w:rsid w:val="00715AA0"/>
    <w:rsid w:val="009605F6"/>
    <w:rsid w:val="009A5C24"/>
    <w:rsid w:val="00A572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rsid w:val="009A5C24"/>
    <w:pPr>
      <w:tabs>
        <w:tab w:val="center" w:pos="4153"/>
        <w:tab w:val="right" w:pos="8306"/>
      </w:tabs>
    </w:pPr>
    <w:rPr>
      <w:rFonts w:ascii="Arial" w:hAnsi="Arial" w:cs="Arial"/>
      <w:sz w:val="20"/>
      <w:szCs w:val="20"/>
      <w:lang w:val="en-ZA"/>
    </w:rPr>
  </w:style>
  <w:style w:type="character" w:customStyle="1" w:styleId="HeaderChar">
    <w:name w:val="Header Char"/>
    <w:basedOn w:val="DefaultParagraphFont"/>
    <w:link w:val="Header"/>
    <w:rsid w:val="009A5C24"/>
    <w:rPr>
      <w:rFonts w:ascii="Arial" w:hAnsi="Arial" w:cs="Arial"/>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rsid w:val="009A5C24"/>
    <w:pPr>
      <w:tabs>
        <w:tab w:val="center" w:pos="4153"/>
        <w:tab w:val="right" w:pos="8306"/>
      </w:tabs>
    </w:pPr>
    <w:rPr>
      <w:rFonts w:ascii="Arial" w:hAnsi="Arial" w:cs="Arial"/>
      <w:sz w:val="20"/>
      <w:szCs w:val="20"/>
      <w:lang w:val="en-ZA"/>
    </w:rPr>
  </w:style>
  <w:style w:type="character" w:customStyle="1" w:styleId="HeaderChar">
    <w:name w:val="Header Char"/>
    <w:basedOn w:val="DefaultParagraphFont"/>
    <w:link w:val="Header"/>
    <w:rsid w:val="009A5C24"/>
    <w:rPr>
      <w:rFonts w:ascii="Arial" w:hAnsi="Arial"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2013-01-04T12:40:00Z</dcterms:created>
  <dcterms:modified xsi:type="dcterms:W3CDTF">2013-01-04T13:51:00Z</dcterms:modified>
</cp:coreProperties>
</file>