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43" w:rsidRPr="002A7568" w:rsidRDefault="002A7568" w:rsidP="002A7568">
      <w:pPr>
        <w:spacing w:after="0"/>
        <w:jc w:val="right"/>
        <w:rPr>
          <w:b/>
          <w:sz w:val="28"/>
          <w:szCs w:val="28"/>
        </w:rPr>
      </w:pPr>
      <w:bookmarkStart w:id="0" w:name="_GoBack"/>
      <w:bookmarkEnd w:id="0"/>
      <w:r w:rsidRPr="002A7568">
        <w:rPr>
          <w:b/>
          <w:noProof/>
          <w:sz w:val="28"/>
          <w:szCs w:val="28"/>
          <w:lang w:val="en-US"/>
        </w:rPr>
        <w:drawing>
          <wp:anchor distT="0" distB="0" distL="114300" distR="114300" simplePos="0" relativeHeight="251659264" behindDoc="1" locked="0" layoutInCell="1" allowOverlap="1" wp14:anchorId="2F78F8FE" wp14:editId="4EF4E796">
            <wp:simplePos x="0" y="0"/>
            <wp:positionH relativeFrom="column">
              <wp:posOffset>165735</wp:posOffset>
            </wp:positionH>
            <wp:positionV relativeFrom="paragraph">
              <wp:posOffset>18415</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pic:spPr>
                </pic:pic>
              </a:graphicData>
            </a:graphic>
            <wp14:sizeRelH relativeFrom="page">
              <wp14:pctWidth>0</wp14:pctWidth>
            </wp14:sizeRelH>
            <wp14:sizeRelV relativeFrom="page">
              <wp14:pctHeight>0</wp14:pctHeight>
            </wp14:sizeRelV>
          </wp:anchor>
        </w:drawing>
      </w:r>
      <w:r w:rsidRPr="002A7568">
        <w:rPr>
          <w:b/>
          <w:sz w:val="28"/>
          <w:szCs w:val="28"/>
        </w:rPr>
        <w:t xml:space="preserve">Staff </w:t>
      </w:r>
      <w:r w:rsidR="008E3E33" w:rsidRPr="002A7568">
        <w:rPr>
          <w:b/>
          <w:sz w:val="28"/>
          <w:szCs w:val="28"/>
        </w:rPr>
        <w:t>Remuneration Survey Report</w:t>
      </w:r>
    </w:p>
    <w:p w:rsidR="008E3E33" w:rsidRDefault="008E3E33" w:rsidP="008E3E33">
      <w:pPr>
        <w:spacing w:after="0"/>
      </w:pPr>
    </w:p>
    <w:p w:rsidR="002A7568" w:rsidRDefault="002A7568" w:rsidP="008E3E33">
      <w:pPr>
        <w:spacing w:after="0"/>
      </w:pPr>
    </w:p>
    <w:p w:rsidR="002A7568" w:rsidRDefault="002A7568" w:rsidP="008E3E33">
      <w:pPr>
        <w:spacing w:after="0"/>
      </w:pPr>
    </w:p>
    <w:p w:rsidR="008E3E33" w:rsidRDefault="008E3E33" w:rsidP="008E3E33">
      <w:pPr>
        <w:spacing w:after="0"/>
      </w:pPr>
      <w:r>
        <w:t>A survey on the draft remuneration policy was conducted amongst academic staff and support staff grades 6 and above. The request for staff to complete the survey went out in early J</w:t>
      </w:r>
      <w:r w:rsidR="004E3A15">
        <w:t>uly 2014 and the survey was closed on the</w:t>
      </w:r>
      <w:r>
        <w:t xml:space="preserve"> 24</w:t>
      </w:r>
      <w:r w:rsidRPr="008E3E33">
        <w:rPr>
          <w:vertAlign w:val="superscript"/>
        </w:rPr>
        <w:t>th</w:t>
      </w:r>
      <w:r>
        <w:t xml:space="preserve"> of July 2014. In total, 807 requests were sent out to permanent staff for the completion of the survey. In total, 364 staff replied, a response rate of 45%.</w:t>
      </w:r>
    </w:p>
    <w:p w:rsidR="008E3E33" w:rsidRDefault="008E3E33" w:rsidP="008E3E33">
      <w:pPr>
        <w:spacing w:after="0"/>
      </w:pPr>
    </w:p>
    <w:p w:rsidR="008E3E33" w:rsidRDefault="008E3E33" w:rsidP="008E3E33">
      <w:pPr>
        <w:spacing w:after="0"/>
      </w:pPr>
      <w:r>
        <w:t>The profile of those who completed the survey was:</w:t>
      </w:r>
    </w:p>
    <w:p w:rsidR="008E3E33" w:rsidRDefault="008E3E33" w:rsidP="008E3E33">
      <w:pPr>
        <w:pStyle w:val="ListParagraph"/>
        <w:numPr>
          <w:ilvl w:val="0"/>
          <w:numId w:val="1"/>
        </w:numPr>
        <w:spacing w:after="0"/>
      </w:pPr>
      <w:r>
        <w:t>Academic staff, 149 people, 41% of all responses</w:t>
      </w:r>
    </w:p>
    <w:p w:rsidR="008E3E33" w:rsidRDefault="008E3E33" w:rsidP="008E3E33">
      <w:pPr>
        <w:pStyle w:val="ListParagraph"/>
        <w:numPr>
          <w:ilvl w:val="0"/>
          <w:numId w:val="1"/>
        </w:numPr>
        <w:spacing w:after="0"/>
      </w:pPr>
      <w:r>
        <w:t>Support staff, 215 people, 59% of all responses</w:t>
      </w:r>
    </w:p>
    <w:p w:rsidR="008E3E33" w:rsidRDefault="008E3E33" w:rsidP="008E3E33">
      <w:pPr>
        <w:pStyle w:val="ListParagraph"/>
        <w:numPr>
          <w:ilvl w:val="0"/>
          <w:numId w:val="1"/>
        </w:numPr>
        <w:spacing w:after="0"/>
      </w:pPr>
      <w:r>
        <w:t>A good cross section of responses came from academics in all 5 Faculties and from various post levels (e.g. 41% of response were from Associate Professors and Professors, 33% from senior lecturers/researchers and the 25% from lecturers/researchers)</w:t>
      </w:r>
    </w:p>
    <w:p w:rsidR="008E3E33" w:rsidRDefault="008E3E33" w:rsidP="008E3E33">
      <w:pPr>
        <w:pStyle w:val="ListParagraph"/>
        <w:numPr>
          <w:ilvl w:val="0"/>
          <w:numId w:val="1"/>
        </w:numPr>
        <w:spacing w:after="0"/>
      </w:pPr>
      <w:r>
        <w:t xml:space="preserve">There were a good cross section of response from support staff in various Divisions but the response rate from staff in Infrastructure and Operations was poor. </w:t>
      </w:r>
    </w:p>
    <w:p w:rsidR="008E3E33" w:rsidRDefault="008E3E33" w:rsidP="008E3E33">
      <w:pPr>
        <w:pStyle w:val="ListParagraph"/>
        <w:spacing w:after="0"/>
      </w:pPr>
    </w:p>
    <w:p w:rsidR="008E3E33" w:rsidRDefault="00BE5ED4" w:rsidP="00BE5ED4">
      <w:pPr>
        <w:spacing w:after="0"/>
      </w:pPr>
      <w:r>
        <w:t>Respondents were asked to indicate if they had attended any of the remuneration presentations held (only 77 had) and if they had read the draft remuneration policy (268 indicated they had). This means that only 19 respondents answered the survey without knowledge of the draft policy. 164 respondents rated their understanding of the proposed policy as either good or very good and a further 124 rated them</w:t>
      </w:r>
      <w:r w:rsidR="0005147F">
        <w:t>selves</w:t>
      </w:r>
      <w:r>
        <w:t xml:space="preserve"> as having an average understanding. </w:t>
      </w:r>
    </w:p>
    <w:p w:rsidR="00BE5ED4" w:rsidRDefault="00BE5ED4" w:rsidP="00BE5ED4">
      <w:pPr>
        <w:spacing w:after="0"/>
      </w:pPr>
    </w:p>
    <w:p w:rsidR="00BE5ED4" w:rsidRDefault="00BE5ED4" w:rsidP="00BE5ED4">
      <w:pPr>
        <w:spacing w:after="0"/>
      </w:pPr>
      <w:r>
        <w:t>The survey queried the level of support</w:t>
      </w:r>
      <w:r w:rsidR="004E7479">
        <w:t xml:space="preserve"> for</w:t>
      </w:r>
      <w:r>
        <w:t xml:space="preserve"> the key issues of the policy</w:t>
      </w:r>
      <w:r w:rsidR="004E7479">
        <w:t>. Due to the complex nature of the issues, definitions were provided to the respondent.  The issues</w:t>
      </w:r>
      <w:r>
        <w:t xml:space="preserve"> are listed below:</w:t>
      </w:r>
    </w:p>
    <w:tbl>
      <w:tblPr>
        <w:tblStyle w:val="TableGrid"/>
        <w:tblW w:w="0" w:type="auto"/>
        <w:tblLook w:val="04A0" w:firstRow="1" w:lastRow="0" w:firstColumn="1" w:lastColumn="0" w:noHBand="0" w:noVBand="1"/>
      </w:tblPr>
      <w:tblGrid>
        <w:gridCol w:w="534"/>
        <w:gridCol w:w="3402"/>
        <w:gridCol w:w="1275"/>
        <w:gridCol w:w="2835"/>
        <w:gridCol w:w="1134"/>
        <w:gridCol w:w="1836"/>
      </w:tblGrid>
      <w:tr w:rsidR="00BE5ED4" w:rsidTr="00EB2767">
        <w:tc>
          <w:tcPr>
            <w:tcW w:w="534" w:type="dxa"/>
          </w:tcPr>
          <w:p w:rsidR="00BE5ED4" w:rsidRDefault="00BE5ED4" w:rsidP="00BE5ED4">
            <w:pPr>
              <w:spacing w:after="0"/>
            </w:pPr>
            <w:r>
              <w:t>No</w:t>
            </w:r>
          </w:p>
        </w:tc>
        <w:tc>
          <w:tcPr>
            <w:tcW w:w="3402" w:type="dxa"/>
          </w:tcPr>
          <w:p w:rsidR="00BE5ED4" w:rsidRDefault="00BE5ED4" w:rsidP="00BE5ED4">
            <w:pPr>
              <w:spacing w:after="0"/>
            </w:pPr>
            <w:r>
              <w:t>Issue</w:t>
            </w:r>
          </w:p>
        </w:tc>
        <w:tc>
          <w:tcPr>
            <w:tcW w:w="1275" w:type="dxa"/>
          </w:tcPr>
          <w:p w:rsidR="00BE5ED4" w:rsidRDefault="00BE5ED4" w:rsidP="00BE5ED4">
            <w:pPr>
              <w:spacing w:after="0"/>
            </w:pPr>
            <w:r>
              <w:t>Support %</w:t>
            </w:r>
          </w:p>
        </w:tc>
        <w:tc>
          <w:tcPr>
            <w:tcW w:w="2835" w:type="dxa"/>
          </w:tcPr>
          <w:p w:rsidR="00BE5ED4" w:rsidRDefault="00BE5ED4" w:rsidP="00BE5ED4">
            <w:pPr>
              <w:spacing w:after="0"/>
            </w:pPr>
            <w:r>
              <w:t>Support with reservations %</w:t>
            </w:r>
          </w:p>
        </w:tc>
        <w:tc>
          <w:tcPr>
            <w:tcW w:w="1134" w:type="dxa"/>
          </w:tcPr>
          <w:p w:rsidR="00BE5ED4" w:rsidRDefault="00BE5ED4" w:rsidP="00BE5ED4">
            <w:pPr>
              <w:spacing w:after="0"/>
            </w:pPr>
            <w:r>
              <w:t>Unsure %</w:t>
            </w:r>
          </w:p>
        </w:tc>
        <w:tc>
          <w:tcPr>
            <w:tcW w:w="1836" w:type="dxa"/>
          </w:tcPr>
          <w:p w:rsidR="00BE5ED4" w:rsidRDefault="00BE5ED4" w:rsidP="00BE5ED4">
            <w:pPr>
              <w:spacing w:after="0"/>
            </w:pPr>
            <w:r>
              <w:t>Do not Support</w:t>
            </w:r>
            <w:r w:rsidR="002A7568">
              <w:t xml:space="preserve"> %</w:t>
            </w:r>
            <w:r>
              <w:t xml:space="preserve"> </w:t>
            </w:r>
          </w:p>
        </w:tc>
      </w:tr>
      <w:tr w:rsidR="00BE5ED4" w:rsidTr="00EB2767">
        <w:tc>
          <w:tcPr>
            <w:tcW w:w="534" w:type="dxa"/>
          </w:tcPr>
          <w:p w:rsidR="00BE5ED4" w:rsidRDefault="00BE5ED4" w:rsidP="00BE5ED4">
            <w:pPr>
              <w:spacing w:after="0"/>
            </w:pPr>
            <w:r>
              <w:t>1</w:t>
            </w:r>
          </w:p>
        </w:tc>
        <w:tc>
          <w:tcPr>
            <w:tcW w:w="3402" w:type="dxa"/>
          </w:tcPr>
          <w:p w:rsidR="00BE5ED4" w:rsidRDefault="00BE5ED4" w:rsidP="00BE5ED4">
            <w:pPr>
              <w:spacing w:after="0"/>
            </w:pPr>
            <w:r>
              <w:t>Use of a remuneration range</w:t>
            </w:r>
          </w:p>
        </w:tc>
        <w:tc>
          <w:tcPr>
            <w:tcW w:w="1275" w:type="dxa"/>
          </w:tcPr>
          <w:p w:rsidR="00BE5ED4" w:rsidRDefault="00BE5ED4" w:rsidP="00BE5ED4">
            <w:pPr>
              <w:spacing w:after="0"/>
            </w:pPr>
            <w:r>
              <w:t>44</w:t>
            </w:r>
          </w:p>
        </w:tc>
        <w:tc>
          <w:tcPr>
            <w:tcW w:w="2835" w:type="dxa"/>
          </w:tcPr>
          <w:p w:rsidR="00BE5ED4" w:rsidRDefault="00BE5ED4" w:rsidP="00BE5ED4">
            <w:pPr>
              <w:spacing w:after="0"/>
            </w:pPr>
            <w:r>
              <w:t>16</w:t>
            </w:r>
          </w:p>
        </w:tc>
        <w:tc>
          <w:tcPr>
            <w:tcW w:w="1134" w:type="dxa"/>
          </w:tcPr>
          <w:p w:rsidR="00BE5ED4" w:rsidRDefault="00BE5ED4" w:rsidP="00BE5ED4">
            <w:pPr>
              <w:spacing w:after="0"/>
            </w:pPr>
            <w:r>
              <w:t>32</w:t>
            </w:r>
          </w:p>
        </w:tc>
        <w:tc>
          <w:tcPr>
            <w:tcW w:w="1836" w:type="dxa"/>
          </w:tcPr>
          <w:p w:rsidR="00BE5ED4" w:rsidRDefault="00C35FDB" w:rsidP="00BE5ED4">
            <w:pPr>
              <w:spacing w:after="0"/>
            </w:pPr>
            <w:r>
              <w:t>7</w:t>
            </w:r>
          </w:p>
        </w:tc>
      </w:tr>
      <w:tr w:rsidR="00BE5ED4" w:rsidTr="00EB2767">
        <w:tc>
          <w:tcPr>
            <w:tcW w:w="534" w:type="dxa"/>
          </w:tcPr>
          <w:p w:rsidR="00BE5ED4" w:rsidRDefault="00BE5ED4" w:rsidP="00BE5ED4">
            <w:pPr>
              <w:spacing w:after="0"/>
            </w:pPr>
            <w:r>
              <w:t>2</w:t>
            </w:r>
          </w:p>
        </w:tc>
        <w:tc>
          <w:tcPr>
            <w:tcW w:w="3402" w:type="dxa"/>
          </w:tcPr>
          <w:p w:rsidR="00BE5ED4" w:rsidRDefault="00BE5ED4" w:rsidP="00BE5ED4">
            <w:pPr>
              <w:spacing w:after="0"/>
            </w:pPr>
            <w:r>
              <w:t>No differentiation in remuneration ranges per discipline/type of job</w:t>
            </w:r>
            <w:r w:rsidR="004E7479">
              <w:t xml:space="preserve"> i.e. Professor in Botany paid on same range as Professor in History</w:t>
            </w:r>
          </w:p>
        </w:tc>
        <w:tc>
          <w:tcPr>
            <w:tcW w:w="1275" w:type="dxa"/>
          </w:tcPr>
          <w:p w:rsidR="00BE5ED4" w:rsidRDefault="00BE5ED4" w:rsidP="00BE5ED4">
            <w:pPr>
              <w:spacing w:after="0"/>
            </w:pPr>
            <w:r>
              <w:t>48</w:t>
            </w:r>
          </w:p>
        </w:tc>
        <w:tc>
          <w:tcPr>
            <w:tcW w:w="2835" w:type="dxa"/>
          </w:tcPr>
          <w:p w:rsidR="00BE5ED4" w:rsidRDefault="00BE5ED4" w:rsidP="00BE5ED4">
            <w:pPr>
              <w:spacing w:after="0"/>
            </w:pPr>
            <w:r>
              <w:t>8</w:t>
            </w:r>
          </w:p>
        </w:tc>
        <w:tc>
          <w:tcPr>
            <w:tcW w:w="1134" w:type="dxa"/>
          </w:tcPr>
          <w:p w:rsidR="00BE5ED4" w:rsidRDefault="00BE5ED4" w:rsidP="00BE5ED4">
            <w:pPr>
              <w:spacing w:after="0"/>
            </w:pPr>
            <w:r>
              <w:t>20</w:t>
            </w:r>
          </w:p>
        </w:tc>
        <w:tc>
          <w:tcPr>
            <w:tcW w:w="1836" w:type="dxa"/>
          </w:tcPr>
          <w:p w:rsidR="00BE5ED4" w:rsidRDefault="00BE5ED4" w:rsidP="00BE5ED4">
            <w:pPr>
              <w:spacing w:after="0"/>
            </w:pPr>
            <w:r>
              <w:t>24</w:t>
            </w:r>
          </w:p>
        </w:tc>
      </w:tr>
      <w:tr w:rsidR="00BE5ED4" w:rsidTr="00EB2767">
        <w:tc>
          <w:tcPr>
            <w:tcW w:w="534" w:type="dxa"/>
          </w:tcPr>
          <w:p w:rsidR="00BE5ED4" w:rsidRDefault="00BE5ED4" w:rsidP="00BE5ED4">
            <w:pPr>
              <w:spacing w:after="0"/>
            </w:pPr>
            <w:r>
              <w:t>3</w:t>
            </w:r>
          </w:p>
        </w:tc>
        <w:tc>
          <w:tcPr>
            <w:tcW w:w="3402" w:type="dxa"/>
          </w:tcPr>
          <w:p w:rsidR="00BE5ED4" w:rsidRDefault="00BE5ED4" w:rsidP="00BE5ED4">
            <w:pPr>
              <w:spacing w:after="0"/>
            </w:pPr>
            <w:r>
              <w:t>Remuneration range from 80% to 110% of 50</w:t>
            </w:r>
            <w:r w:rsidRPr="00BE5ED4">
              <w:rPr>
                <w:vertAlign w:val="superscript"/>
              </w:rPr>
              <w:t>th</w:t>
            </w:r>
            <w:r>
              <w:t xml:space="preserve"> percentile</w:t>
            </w:r>
          </w:p>
        </w:tc>
        <w:tc>
          <w:tcPr>
            <w:tcW w:w="1275" w:type="dxa"/>
          </w:tcPr>
          <w:p w:rsidR="00BE5ED4" w:rsidRDefault="00BE5ED4" w:rsidP="00BE5ED4">
            <w:pPr>
              <w:spacing w:after="0"/>
            </w:pPr>
            <w:r>
              <w:t>35</w:t>
            </w:r>
          </w:p>
        </w:tc>
        <w:tc>
          <w:tcPr>
            <w:tcW w:w="2835" w:type="dxa"/>
          </w:tcPr>
          <w:p w:rsidR="00BE5ED4" w:rsidRDefault="00BE5ED4" w:rsidP="00BE5ED4">
            <w:pPr>
              <w:spacing w:after="0"/>
            </w:pPr>
            <w:r>
              <w:t>13</w:t>
            </w:r>
          </w:p>
        </w:tc>
        <w:tc>
          <w:tcPr>
            <w:tcW w:w="1134" w:type="dxa"/>
          </w:tcPr>
          <w:p w:rsidR="00BE5ED4" w:rsidRDefault="00BE5ED4" w:rsidP="00BE5ED4">
            <w:pPr>
              <w:spacing w:after="0"/>
            </w:pPr>
            <w:r>
              <w:t>39</w:t>
            </w:r>
          </w:p>
        </w:tc>
        <w:tc>
          <w:tcPr>
            <w:tcW w:w="1836" w:type="dxa"/>
          </w:tcPr>
          <w:p w:rsidR="00BE5ED4" w:rsidRDefault="00BE5ED4" w:rsidP="00BE5ED4">
            <w:pPr>
              <w:spacing w:after="0"/>
            </w:pPr>
            <w:r>
              <w:t>13</w:t>
            </w:r>
          </w:p>
        </w:tc>
      </w:tr>
      <w:tr w:rsidR="00BE5ED4" w:rsidTr="00EB2767">
        <w:tc>
          <w:tcPr>
            <w:tcW w:w="534" w:type="dxa"/>
          </w:tcPr>
          <w:p w:rsidR="00BE5ED4" w:rsidRDefault="00BE5ED4" w:rsidP="00BE5ED4">
            <w:pPr>
              <w:spacing w:after="0"/>
            </w:pPr>
            <w:r>
              <w:t>4</w:t>
            </w:r>
          </w:p>
        </w:tc>
        <w:tc>
          <w:tcPr>
            <w:tcW w:w="3402" w:type="dxa"/>
          </w:tcPr>
          <w:p w:rsidR="00BE5ED4" w:rsidRDefault="004E7479" w:rsidP="00BE5ED4">
            <w:pPr>
              <w:spacing w:after="0"/>
            </w:pPr>
            <w:r>
              <w:t>Up to 10% on</w:t>
            </w:r>
            <w:r w:rsidR="00C4508C">
              <w:t xml:space="preserve"> min of range linked to person’s experience and</w:t>
            </w:r>
            <w:r w:rsidR="00FF6E78">
              <w:t>/or</w:t>
            </w:r>
            <w:r w:rsidR="00C4508C">
              <w:t xml:space="preserve"> qualifications</w:t>
            </w:r>
            <w:r>
              <w:t xml:space="preserve"> so person with PhD paid more than person without</w:t>
            </w:r>
          </w:p>
        </w:tc>
        <w:tc>
          <w:tcPr>
            <w:tcW w:w="1275" w:type="dxa"/>
          </w:tcPr>
          <w:p w:rsidR="00BE5ED4" w:rsidRDefault="004E7479" w:rsidP="00BE5ED4">
            <w:pPr>
              <w:spacing w:after="0"/>
            </w:pPr>
            <w:r>
              <w:t>63</w:t>
            </w:r>
          </w:p>
        </w:tc>
        <w:tc>
          <w:tcPr>
            <w:tcW w:w="2835" w:type="dxa"/>
          </w:tcPr>
          <w:p w:rsidR="00BE5ED4" w:rsidRDefault="004E7479" w:rsidP="00BE5ED4">
            <w:pPr>
              <w:spacing w:after="0"/>
            </w:pPr>
            <w:r>
              <w:t>14</w:t>
            </w:r>
          </w:p>
        </w:tc>
        <w:tc>
          <w:tcPr>
            <w:tcW w:w="1134" w:type="dxa"/>
          </w:tcPr>
          <w:p w:rsidR="00BE5ED4" w:rsidRDefault="004E7479" w:rsidP="00BE5ED4">
            <w:pPr>
              <w:spacing w:after="0"/>
            </w:pPr>
            <w:r>
              <w:t>9</w:t>
            </w:r>
          </w:p>
        </w:tc>
        <w:tc>
          <w:tcPr>
            <w:tcW w:w="1836" w:type="dxa"/>
          </w:tcPr>
          <w:p w:rsidR="00BE5ED4" w:rsidRDefault="004E7479" w:rsidP="00BE5ED4">
            <w:pPr>
              <w:spacing w:after="0"/>
            </w:pPr>
            <w:r>
              <w:t>14</w:t>
            </w:r>
          </w:p>
        </w:tc>
      </w:tr>
      <w:tr w:rsidR="00BE5ED4" w:rsidTr="00EB2767">
        <w:tc>
          <w:tcPr>
            <w:tcW w:w="534" w:type="dxa"/>
          </w:tcPr>
          <w:p w:rsidR="00BE5ED4" w:rsidRDefault="004E7479" w:rsidP="00BE5ED4">
            <w:pPr>
              <w:spacing w:after="0"/>
            </w:pPr>
            <w:r>
              <w:t>5</w:t>
            </w:r>
          </w:p>
        </w:tc>
        <w:tc>
          <w:tcPr>
            <w:tcW w:w="3402" w:type="dxa"/>
          </w:tcPr>
          <w:p w:rsidR="00EB2767" w:rsidRDefault="004917D8" w:rsidP="00EB2767">
            <w:pPr>
              <w:spacing w:after="0"/>
            </w:pPr>
            <w:r>
              <w:t>Within a particular range for a particular post/grade, individual differentiation will be on the basis of contribution</w:t>
            </w:r>
            <w:r w:rsidR="00C35FDB">
              <w:t>.</w:t>
            </w:r>
            <w:r w:rsidR="00EB2767">
              <w:t xml:space="preserve"> </w:t>
            </w:r>
          </w:p>
          <w:p w:rsidR="00EB2767" w:rsidRDefault="00EB2767" w:rsidP="00EB2767">
            <w:pPr>
              <w:spacing w:after="0"/>
            </w:pPr>
          </w:p>
          <w:p w:rsidR="00EB2767" w:rsidRDefault="00EB2767" w:rsidP="00EB2767">
            <w:pPr>
              <w:spacing w:after="0"/>
            </w:pPr>
          </w:p>
          <w:p w:rsidR="00EB2767" w:rsidRDefault="00EB2767" w:rsidP="00EB2767">
            <w:pPr>
              <w:spacing w:after="0"/>
            </w:pPr>
          </w:p>
        </w:tc>
        <w:tc>
          <w:tcPr>
            <w:tcW w:w="1275" w:type="dxa"/>
          </w:tcPr>
          <w:p w:rsidR="00BE5ED4" w:rsidRDefault="004917D8" w:rsidP="00BE5ED4">
            <w:pPr>
              <w:spacing w:after="0"/>
            </w:pPr>
            <w:r>
              <w:t>52</w:t>
            </w:r>
          </w:p>
        </w:tc>
        <w:tc>
          <w:tcPr>
            <w:tcW w:w="2835" w:type="dxa"/>
          </w:tcPr>
          <w:p w:rsidR="00BE5ED4" w:rsidRDefault="004917D8" w:rsidP="00BE5ED4">
            <w:pPr>
              <w:spacing w:after="0"/>
            </w:pPr>
            <w:r>
              <w:t>18</w:t>
            </w:r>
          </w:p>
        </w:tc>
        <w:tc>
          <w:tcPr>
            <w:tcW w:w="1134" w:type="dxa"/>
          </w:tcPr>
          <w:p w:rsidR="00BE5ED4" w:rsidRDefault="004917D8" w:rsidP="00BE5ED4">
            <w:pPr>
              <w:spacing w:after="0"/>
            </w:pPr>
            <w:r>
              <w:t>11</w:t>
            </w:r>
          </w:p>
        </w:tc>
        <w:tc>
          <w:tcPr>
            <w:tcW w:w="1836" w:type="dxa"/>
          </w:tcPr>
          <w:p w:rsidR="00BE5ED4" w:rsidRDefault="004917D8" w:rsidP="00BE5ED4">
            <w:pPr>
              <w:spacing w:after="0"/>
            </w:pPr>
            <w:r>
              <w:t>18</w:t>
            </w:r>
          </w:p>
        </w:tc>
      </w:tr>
      <w:tr w:rsidR="00EB2767" w:rsidTr="00EB2767">
        <w:tc>
          <w:tcPr>
            <w:tcW w:w="534" w:type="dxa"/>
          </w:tcPr>
          <w:p w:rsidR="00EB2767" w:rsidRDefault="00EB2767" w:rsidP="00696A57">
            <w:pPr>
              <w:spacing w:after="0"/>
            </w:pPr>
            <w:r>
              <w:lastRenderedPageBreak/>
              <w:t>No</w:t>
            </w:r>
          </w:p>
        </w:tc>
        <w:tc>
          <w:tcPr>
            <w:tcW w:w="3402" w:type="dxa"/>
          </w:tcPr>
          <w:p w:rsidR="00EB2767" w:rsidRDefault="00EB2767" w:rsidP="00696A57">
            <w:pPr>
              <w:spacing w:after="0"/>
            </w:pPr>
            <w:r>
              <w:t>Issue</w:t>
            </w:r>
          </w:p>
        </w:tc>
        <w:tc>
          <w:tcPr>
            <w:tcW w:w="1275" w:type="dxa"/>
          </w:tcPr>
          <w:p w:rsidR="00EB2767" w:rsidRDefault="00EB2767" w:rsidP="00696A57">
            <w:pPr>
              <w:spacing w:after="0"/>
            </w:pPr>
            <w:r>
              <w:t>Support %</w:t>
            </w:r>
          </w:p>
        </w:tc>
        <w:tc>
          <w:tcPr>
            <w:tcW w:w="2835" w:type="dxa"/>
          </w:tcPr>
          <w:p w:rsidR="00EB2767" w:rsidRDefault="00EB2767" w:rsidP="00696A57">
            <w:pPr>
              <w:spacing w:after="0"/>
            </w:pPr>
            <w:r>
              <w:t>Support with reservations %</w:t>
            </w:r>
          </w:p>
        </w:tc>
        <w:tc>
          <w:tcPr>
            <w:tcW w:w="1134" w:type="dxa"/>
          </w:tcPr>
          <w:p w:rsidR="00EB2767" w:rsidRDefault="00EB2767" w:rsidP="00696A57">
            <w:pPr>
              <w:spacing w:after="0"/>
            </w:pPr>
            <w:r>
              <w:t>Unsure %</w:t>
            </w:r>
          </w:p>
        </w:tc>
        <w:tc>
          <w:tcPr>
            <w:tcW w:w="1836" w:type="dxa"/>
          </w:tcPr>
          <w:p w:rsidR="00EB2767" w:rsidRDefault="00EB2767" w:rsidP="00696A57">
            <w:pPr>
              <w:spacing w:after="0"/>
            </w:pPr>
            <w:r>
              <w:t xml:space="preserve">Do not Support % </w:t>
            </w:r>
          </w:p>
        </w:tc>
      </w:tr>
      <w:tr w:rsidR="00EB2767" w:rsidTr="00EB2767">
        <w:tc>
          <w:tcPr>
            <w:tcW w:w="534" w:type="dxa"/>
          </w:tcPr>
          <w:p w:rsidR="00EB2767" w:rsidRDefault="00EB2767" w:rsidP="00BE5ED4">
            <w:pPr>
              <w:spacing w:after="0"/>
            </w:pPr>
            <w:r>
              <w:t>6</w:t>
            </w:r>
          </w:p>
        </w:tc>
        <w:tc>
          <w:tcPr>
            <w:tcW w:w="3402" w:type="dxa"/>
          </w:tcPr>
          <w:p w:rsidR="00EB2767" w:rsidRDefault="00EB2767" w:rsidP="00FE66AB">
            <w:pPr>
              <w:spacing w:after="0"/>
            </w:pPr>
            <w:r>
              <w:t xml:space="preserve">The processes for individual differentiation based on contribution </w:t>
            </w:r>
            <w:r w:rsidR="00FE66AB">
              <w:t>is</w:t>
            </w:r>
            <w:r>
              <w:t xml:space="preserve"> not in policy</w:t>
            </w:r>
            <w:r w:rsidR="00FE66AB">
              <w:t>. W</w:t>
            </w:r>
            <w:r>
              <w:t>ould need to be determined and would be subject to negotiation and consultation.</w:t>
            </w:r>
          </w:p>
        </w:tc>
        <w:tc>
          <w:tcPr>
            <w:tcW w:w="1275" w:type="dxa"/>
          </w:tcPr>
          <w:p w:rsidR="00EB2767" w:rsidRDefault="00EB2767" w:rsidP="00BE5ED4">
            <w:pPr>
              <w:spacing w:after="0"/>
            </w:pPr>
            <w:r>
              <w:t>45</w:t>
            </w:r>
          </w:p>
        </w:tc>
        <w:tc>
          <w:tcPr>
            <w:tcW w:w="2835" w:type="dxa"/>
          </w:tcPr>
          <w:p w:rsidR="00EB2767" w:rsidRDefault="00EB2767" w:rsidP="00BE5ED4">
            <w:pPr>
              <w:spacing w:after="0"/>
            </w:pPr>
            <w:r>
              <w:t>12</w:t>
            </w:r>
          </w:p>
        </w:tc>
        <w:tc>
          <w:tcPr>
            <w:tcW w:w="1134" w:type="dxa"/>
          </w:tcPr>
          <w:p w:rsidR="00EB2767" w:rsidRDefault="00EB2767" w:rsidP="00BE5ED4">
            <w:pPr>
              <w:spacing w:after="0"/>
            </w:pPr>
            <w:r>
              <w:t>23</w:t>
            </w:r>
          </w:p>
        </w:tc>
        <w:tc>
          <w:tcPr>
            <w:tcW w:w="1836" w:type="dxa"/>
          </w:tcPr>
          <w:p w:rsidR="00EB2767" w:rsidRDefault="00EB2767" w:rsidP="00BE5ED4">
            <w:pPr>
              <w:spacing w:after="0"/>
            </w:pPr>
            <w:r>
              <w:t>20</w:t>
            </w:r>
          </w:p>
        </w:tc>
      </w:tr>
      <w:tr w:rsidR="00EB2767" w:rsidTr="00EB2767">
        <w:tc>
          <w:tcPr>
            <w:tcW w:w="534" w:type="dxa"/>
          </w:tcPr>
          <w:p w:rsidR="00EB2767" w:rsidRDefault="00EB2767" w:rsidP="00BE5ED4">
            <w:pPr>
              <w:spacing w:after="0"/>
            </w:pPr>
            <w:r>
              <w:t>7</w:t>
            </w:r>
          </w:p>
        </w:tc>
        <w:tc>
          <w:tcPr>
            <w:tcW w:w="3402" w:type="dxa"/>
          </w:tcPr>
          <w:p w:rsidR="00EB2767" w:rsidRDefault="00EB2767" w:rsidP="00BE5ED4">
            <w:pPr>
              <w:spacing w:after="0"/>
            </w:pPr>
            <w:r>
              <w:t>No differentiation in individual remuneration based on years of service</w:t>
            </w:r>
          </w:p>
        </w:tc>
        <w:tc>
          <w:tcPr>
            <w:tcW w:w="1275" w:type="dxa"/>
          </w:tcPr>
          <w:p w:rsidR="00EB2767" w:rsidRDefault="00EB2767" w:rsidP="00BE5ED4">
            <w:pPr>
              <w:spacing w:after="0"/>
            </w:pPr>
            <w:r>
              <w:t>38</w:t>
            </w:r>
          </w:p>
        </w:tc>
        <w:tc>
          <w:tcPr>
            <w:tcW w:w="2835" w:type="dxa"/>
          </w:tcPr>
          <w:p w:rsidR="00EB2767" w:rsidRDefault="00EB2767" w:rsidP="00BE5ED4">
            <w:pPr>
              <w:spacing w:after="0"/>
            </w:pPr>
            <w:r>
              <w:t>7</w:t>
            </w:r>
          </w:p>
        </w:tc>
        <w:tc>
          <w:tcPr>
            <w:tcW w:w="1134" w:type="dxa"/>
          </w:tcPr>
          <w:p w:rsidR="00EB2767" w:rsidRDefault="00EB2767" w:rsidP="00BE5ED4">
            <w:pPr>
              <w:spacing w:after="0"/>
            </w:pPr>
            <w:r>
              <w:t>15</w:t>
            </w:r>
          </w:p>
        </w:tc>
        <w:tc>
          <w:tcPr>
            <w:tcW w:w="1836" w:type="dxa"/>
          </w:tcPr>
          <w:p w:rsidR="00EB2767" w:rsidRDefault="00EB2767" w:rsidP="00BE5ED4">
            <w:pPr>
              <w:spacing w:after="0"/>
            </w:pPr>
            <w:r>
              <w:t>39</w:t>
            </w:r>
          </w:p>
        </w:tc>
      </w:tr>
      <w:tr w:rsidR="00EB2767" w:rsidTr="00EB2767">
        <w:tc>
          <w:tcPr>
            <w:tcW w:w="534" w:type="dxa"/>
          </w:tcPr>
          <w:p w:rsidR="00EB2767" w:rsidRDefault="00EB2767" w:rsidP="00BE5ED4">
            <w:pPr>
              <w:spacing w:after="0"/>
            </w:pPr>
            <w:r>
              <w:t>8</w:t>
            </w:r>
          </w:p>
        </w:tc>
        <w:tc>
          <w:tcPr>
            <w:tcW w:w="3402" w:type="dxa"/>
          </w:tcPr>
          <w:p w:rsidR="00EB2767" w:rsidRDefault="00FE66AB" w:rsidP="00BE5ED4">
            <w:pPr>
              <w:spacing w:after="0"/>
            </w:pPr>
            <w:r>
              <w:t>Payment of scarcity allowances</w:t>
            </w:r>
          </w:p>
        </w:tc>
        <w:tc>
          <w:tcPr>
            <w:tcW w:w="1275" w:type="dxa"/>
          </w:tcPr>
          <w:p w:rsidR="00EB2767" w:rsidRDefault="00FE66AB" w:rsidP="00BE5ED4">
            <w:pPr>
              <w:spacing w:after="0"/>
            </w:pPr>
            <w:r>
              <w:t>60</w:t>
            </w:r>
          </w:p>
        </w:tc>
        <w:tc>
          <w:tcPr>
            <w:tcW w:w="2835" w:type="dxa"/>
          </w:tcPr>
          <w:p w:rsidR="00EB2767" w:rsidRDefault="00FE66AB" w:rsidP="00BE5ED4">
            <w:pPr>
              <w:spacing w:after="0"/>
            </w:pPr>
            <w:r>
              <w:t>14</w:t>
            </w:r>
          </w:p>
        </w:tc>
        <w:tc>
          <w:tcPr>
            <w:tcW w:w="1134" w:type="dxa"/>
          </w:tcPr>
          <w:p w:rsidR="00EB2767" w:rsidRDefault="00FE66AB" w:rsidP="00BE5ED4">
            <w:pPr>
              <w:spacing w:after="0"/>
            </w:pPr>
            <w:r>
              <w:t>12</w:t>
            </w:r>
          </w:p>
        </w:tc>
        <w:tc>
          <w:tcPr>
            <w:tcW w:w="1836" w:type="dxa"/>
          </w:tcPr>
          <w:p w:rsidR="00EB2767" w:rsidRDefault="00FE66AB" w:rsidP="00BE5ED4">
            <w:pPr>
              <w:spacing w:after="0"/>
            </w:pPr>
            <w:r>
              <w:t>13</w:t>
            </w:r>
          </w:p>
        </w:tc>
      </w:tr>
      <w:tr w:rsidR="00FE66AB" w:rsidTr="00EB2767">
        <w:tc>
          <w:tcPr>
            <w:tcW w:w="534" w:type="dxa"/>
          </w:tcPr>
          <w:p w:rsidR="00FE66AB" w:rsidRDefault="00FE66AB" w:rsidP="00BE5ED4">
            <w:pPr>
              <w:spacing w:after="0"/>
            </w:pPr>
            <w:r>
              <w:t>9</w:t>
            </w:r>
          </w:p>
        </w:tc>
        <w:tc>
          <w:tcPr>
            <w:tcW w:w="3402" w:type="dxa"/>
          </w:tcPr>
          <w:p w:rsidR="00FE66AB" w:rsidRDefault="00FE66AB" w:rsidP="00BE5ED4">
            <w:pPr>
              <w:spacing w:after="0"/>
            </w:pPr>
            <w:r>
              <w:t>Conducting of formal remuneration survey to benchmark competitiveness every 3 years</w:t>
            </w:r>
          </w:p>
        </w:tc>
        <w:tc>
          <w:tcPr>
            <w:tcW w:w="1275" w:type="dxa"/>
          </w:tcPr>
          <w:p w:rsidR="00FE66AB" w:rsidRDefault="00FE66AB" w:rsidP="00BE5ED4">
            <w:pPr>
              <w:spacing w:after="0"/>
            </w:pPr>
            <w:r>
              <w:t>88</w:t>
            </w:r>
          </w:p>
        </w:tc>
        <w:tc>
          <w:tcPr>
            <w:tcW w:w="2835" w:type="dxa"/>
          </w:tcPr>
          <w:p w:rsidR="00FE66AB" w:rsidRDefault="00FE66AB" w:rsidP="00BE5ED4">
            <w:pPr>
              <w:spacing w:after="0"/>
            </w:pPr>
            <w:r>
              <w:t>4</w:t>
            </w:r>
          </w:p>
        </w:tc>
        <w:tc>
          <w:tcPr>
            <w:tcW w:w="1134" w:type="dxa"/>
          </w:tcPr>
          <w:p w:rsidR="00FE66AB" w:rsidRDefault="00FE66AB" w:rsidP="00BE5ED4">
            <w:pPr>
              <w:spacing w:after="0"/>
            </w:pPr>
            <w:r>
              <w:t>6</w:t>
            </w:r>
          </w:p>
        </w:tc>
        <w:tc>
          <w:tcPr>
            <w:tcW w:w="1836" w:type="dxa"/>
          </w:tcPr>
          <w:p w:rsidR="00FE66AB" w:rsidRDefault="00FE66AB" w:rsidP="00BE5ED4">
            <w:pPr>
              <w:spacing w:after="0"/>
            </w:pPr>
            <w:r>
              <w:t>1</w:t>
            </w:r>
          </w:p>
        </w:tc>
      </w:tr>
      <w:tr w:rsidR="00FE66AB" w:rsidTr="00EB2767">
        <w:tc>
          <w:tcPr>
            <w:tcW w:w="534" w:type="dxa"/>
          </w:tcPr>
          <w:p w:rsidR="00FE66AB" w:rsidRDefault="00FE66AB" w:rsidP="00BE5ED4">
            <w:pPr>
              <w:spacing w:after="0"/>
            </w:pPr>
            <w:r>
              <w:t>10</w:t>
            </w:r>
          </w:p>
        </w:tc>
        <w:tc>
          <w:tcPr>
            <w:tcW w:w="3402" w:type="dxa"/>
          </w:tcPr>
          <w:p w:rsidR="00FE66AB" w:rsidRDefault="00FE66AB" w:rsidP="00BE5ED4">
            <w:pPr>
              <w:spacing w:after="0"/>
            </w:pPr>
            <w:r>
              <w:t>Income differential analyses to be conducted to ensure no unfair discrimination</w:t>
            </w:r>
          </w:p>
        </w:tc>
        <w:tc>
          <w:tcPr>
            <w:tcW w:w="1275" w:type="dxa"/>
          </w:tcPr>
          <w:p w:rsidR="00FE66AB" w:rsidRDefault="008635C9" w:rsidP="00BE5ED4">
            <w:pPr>
              <w:spacing w:after="0"/>
            </w:pPr>
            <w:r>
              <w:t>79</w:t>
            </w:r>
          </w:p>
        </w:tc>
        <w:tc>
          <w:tcPr>
            <w:tcW w:w="2835" w:type="dxa"/>
          </w:tcPr>
          <w:p w:rsidR="00FE66AB" w:rsidRDefault="008635C9" w:rsidP="00BE5ED4">
            <w:pPr>
              <w:spacing w:after="0"/>
            </w:pPr>
            <w:r>
              <w:t>6</w:t>
            </w:r>
          </w:p>
        </w:tc>
        <w:tc>
          <w:tcPr>
            <w:tcW w:w="1134" w:type="dxa"/>
          </w:tcPr>
          <w:p w:rsidR="00FE66AB" w:rsidRDefault="008635C9" w:rsidP="00BE5ED4">
            <w:pPr>
              <w:spacing w:after="0"/>
            </w:pPr>
            <w:r>
              <w:t>11</w:t>
            </w:r>
          </w:p>
        </w:tc>
        <w:tc>
          <w:tcPr>
            <w:tcW w:w="1836" w:type="dxa"/>
          </w:tcPr>
          <w:p w:rsidR="00FE66AB" w:rsidRDefault="008635C9" w:rsidP="00BE5ED4">
            <w:pPr>
              <w:spacing w:after="0"/>
            </w:pPr>
            <w:r>
              <w:t>4</w:t>
            </w:r>
          </w:p>
        </w:tc>
      </w:tr>
      <w:tr w:rsidR="008635C9" w:rsidTr="00EB2767">
        <w:tc>
          <w:tcPr>
            <w:tcW w:w="534" w:type="dxa"/>
          </w:tcPr>
          <w:p w:rsidR="008635C9" w:rsidRDefault="008635C9" w:rsidP="00BE5ED4">
            <w:pPr>
              <w:spacing w:after="0"/>
            </w:pPr>
            <w:r>
              <w:t>11</w:t>
            </w:r>
          </w:p>
        </w:tc>
        <w:tc>
          <w:tcPr>
            <w:tcW w:w="3402" w:type="dxa"/>
          </w:tcPr>
          <w:p w:rsidR="008635C9" w:rsidRDefault="008635C9" w:rsidP="00BE5ED4">
            <w:pPr>
              <w:spacing w:after="0"/>
            </w:pPr>
            <w:r>
              <w:t>Adjustment/review of remuneration to take place at appointment/promotion</w:t>
            </w:r>
          </w:p>
        </w:tc>
        <w:tc>
          <w:tcPr>
            <w:tcW w:w="1275" w:type="dxa"/>
          </w:tcPr>
          <w:p w:rsidR="008635C9" w:rsidRDefault="008635C9" w:rsidP="00BE5ED4">
            <w:pPr>
              <w:spacing w:after="0"/>
            </w:pPr>
            <w:r>
              <w:t>75</w:t>
            </w:r>
          </w:p>
        </w:tc>
        <w:tc>
          <w:tcPr>
            <w:tcW w:w="2835" w:type="dxa"/>
          </w:tcPr>
          <w:p w:rsidR="008635C9" w:rsidRDefault="008635C9" w:rsidP="00BE5ED4">
            <w:pPr>
              <w:spacing w:after="0"/>
            </w:pPr>
            <w:r>
              <w:t>8</w:t>
            </w:r>
          </w:p>
        </w:tc>
        <w:tc>
          <w:tcPr>
            <w:tcW w:w="1134" w:type="dxa"/>
          </w:tcPr>
          <w:p w:rsidR="008635C9" w:rsidRDefault="008635C9" w:rsidP="00BE5ED4">
            <w:pPr>
              <w:spacing w:after="0"/>
            </w:pPr>
            <w:r>
              <w:t>13</w:t>
            </w:r>
          </w:p>
        </w:tc>
        <w:tc>
          <w:tcPr>
            <w:tcW w:w="1836" w:type="dxa"/>
          </w:tcPr>
          <w:p w:rsidR="008635C9" w:rsidRDefault="008635C9" w:rsidP="00BE5ED4">
            <w:pPr>
              <w:spacing w:after="0"/>
            </w:pPr>
            <w:r>
              <w:t>4</w:t>
            </w:r>
          </w:p>
        </w:tc>
      </w:tr>
      <w:tr w:rsidR="008635C9" w:rsidTr="00EB2767">
        <w:tc>
          <w:tcPr>
            <w:tcW w:w="534" w:type="dxa"/>
          </w:tcPr>
          <w:p w:rsidR="008635C9" w:rsidRDefault="00A7537C" w:rsidP="00BE5ED4">
            <w:pPr>
              <w:spacing w:after="0"/>
            </w:pPr>
            <w:r>
              <w:t>12</w:t>
            </w:r>
          </w:p>
        </w:tc>
        <w:tc>
          <w:tcPr>
            <w:tcW w:w="3402" w:type="dxa"/>
          </w:tcPr>
          <w:p w:rsidR="008635C9" w:rsidRDefault="008635C9" w:rsidP="00BE5ED4">
            <w:pPr>
              <w:spacing w:after="0"/>
            </w:pPr>
            <w:r>
              <w:t>Adjustment/review of remuneration to take place after probation</w:t>
            </w:r>
          </w:p>
        </w:tc>
        <w:tc>
          <w:tcPr>
            <w:tcW w:w="1275" w:type="dxa"/>
          </w:tcPr>
          <w:p w:rsidR="008635C9" w:rsidRDefault="008635C9" w:rsidP="00BE5ED4">
            <w:pPr>
              <w:spacing w:after="0"/>
            </w:pPr>
            <w:r>
              <w:t>72</w:t>
            </w:r>
          </w:p>
        </w:tc>
        <w:tc>
          <w:tcPr>
            <w:tcW w:w="2835" w:type="dxa"/>
          </w:tcPr>
          <w:p w:rsidR="008635C9" w:rsidRDefault="008635C9" w:rsidP="00BE5ED4">
            <w:pPr>
              <w:spacing w:after="0"/>
            </w:pPr>
            <w:r>
              <w:t>6</w:t>
            </w:r>
          </w:p>
        </w:tc>
        <w:tc>
          <w:tcPr>
            <w:tcW w:w="1134" w:type="dxa"/>
          </w:tcPr>
          <w:p w:rsidR="008635C9" w:rsidRDefault="008635C9" w:rsidP="00BE5ED4">
            <w:pPr>
              <w:spacing w:after="0"/>
            </w:pPr>
            <w:r>
              <w:t>14</w:t>
            </w:r>
          </w:p>
        </w:tc>
        <w:tc>
          <w:tcPr>
            <w:tcW w:w="1836" w:type="dxa"/>
          </w:tcPr>
          <w:p w:rsidR="008635C9" w:rsidRDefault="008635C9" w:rsidP="00BE5ED4">
            <w:pPr>
              <w:spacing w:after="0"/>
            </w:pPr>
            <w:r>
              <w:t>8</w:t>
            </w:r>
          </w:p>
        </w:tc>
      </w:tr>
      <w:tr w:rsidR="008635C9" w:rsidTr="00EB2767">
        <w:tc>
          <w:tcPr>
            <w:tcW w:w="534" w:type="dxa"/>
          </w:tcPr>
          <w:p w:rsidR="008635C9" w:rsidRDefault="00A7537C" w:rsidP="00BE5ED4">
            <w:pPr>
              <w:spacing w:after="0"/>
            </w:pPr>
            <w:r>
              <w:t>13</w:t>
            </w:r>
          </w:p>
        </w:tc>
        <w:tc>
          <w:tcPr>
            <w:tcW w:w="3402" w:type="dxa"/>
          </w:tcPr>
          <w:p w:rsidR="008635C9" w:rsidRDefault="008635C9" w:rsidP="00BE5ED4">
            <w:pPr>
              <w:spacing w:after="0"/>
            </w:pPr>
            <w:r>
              <w:t>Adjustment/review of remuneration to take place linked to review of  contribution/achievements</w:t>
            </w:r>
          </w:p>
        </w:tc>
        <w:tc>
          <w:tcPr>
            <w:tcW w:w="1275" w:type="dxa"/>
          </w:tcPr>
          <w:p w:rsidR="008635C9" w:rsidRDefault="008635C9" w:rsidP="00BE5ED4">
            <w:pPr>
              <w:spacing w:after="0"/>
            </w:pPr>
            <w:r>
              <w:t>66</w:t>
            </w:r>
          </w:p>
        </w:tc>
        <w:tc>
          <w:tcPr>
            <w:tcW w:w="2835" w:type="dxa"/>
          </w:tcPr>
          <w:p w:rsidR="008635C9" w:rsidRDefault="008635C9" w:rsidP="00BE5ED4">
            <w:pPr>
              <w:spacing w:after="0"/>
            </w:pPr>
            <w:r>
              <w:t>11</w:t>
            </w:r>
          </w:p>
        </w:tc>
        <w:tc>
          <w:tcPr>
            <w:tcW w:w="1134" w:type="dxa"/>
          </w:tcPr>
          <w:p w:rsidR="008635C9" w:rsidRDefault="008635C9" w:rsidP="00BE5ED4">
            <w:pPr>
              <w:spacing w:after="0"/>
            </w:pPr>
            <w:r>
              <w:t>12</w:t>
            </w:r>
          </w:p>
        </w:tc>
        <w:tc>
          <w:tcPr>
            <w:tcW w:w="1836" w:type="dxa"/>
          </w:tcPr>
          <w:p w:rsidR="008635C9" w:rsidRDefault="008635C9" w:rsidP="00BE5ED4">
            <w:pPr>
              <w:spacing w:after="0"/>
            </w:pPr>
            <w:r>
              <w:t>11</w:t>
            </w:r>
          </w:p>
        </w:tc>
      </w:tr>
      <w:tr w:rsidR="008635C9" w:rsidTr="00EB2767">
        <w:tc>
          <w:tcPr>
            <w:tcW w:w="534" w:type="dxa"/>
          </w:tcPr>
          <w:p w:rsidR="008635C9" w:rsidRDefault="00A7537C" w:rsidP="00BE5ED4">
            <w:pPr>
              <w:spacing w:after="0"/>
            </w:pPr>
            <w:r>
              <w:t>14</w:t>
            </w:r>
          </w:p>
        </w:tc>
        <w:tc>
          <w:tcPr>
            <w:tcW w:w="3402" w:type="dxa"/>
          </w:tcPr>
          <w:p w:rsidR="008635C9" w:rsidRDefault="008635C9" w:rsidP="00BE5ED4">
            <w:pPr>
              <w:spacing w:after="0"/>
            </w:pPr>
            <w:r>
              <w:t>Adjustment/review of remuneration to take place linked to person being a member of an under-represented group i.e. equity premium</w:t>
            </w:r>
          </w:p>
        </w:tc>
        <w:tc>
          <w:tcPr>
            <w:tcW w:w="1275" w:type="dxa"/>
          </w:tcPr>
          <w:p w:rsidR="008635C9" w:rsidRDefault="008635C9" w:rsidP="00BE5ED4">
            <w:pPr>
              <w:spacing w:after="0"/>
            </w:pPr>
            <w:r>
              <w:t>26</w:t>
            </w:r>
          </w:p>
        </w:tc>
        <w:tc>
          <w:tcPr>
            <w:tcW w:w="2835" w:type="dxa"/>
          </w:tcPr>
          <w:p w:rsidR="008635C9" w:rsidRDefault="008635C9" w:rsidP="00BE5ED4">
            <w:pPr>
              <w:spacing w:after="0"/>
            </w:pPr>
            <w:r>
              <w:t>12</w:t>
            </w:r>
          </w:p>
        </w:tc>
        <w:tc>
          <w:tcPr>
            <w:tcW w:w="1134" w:type="dxa"/>
          </w:tcPr>
          <w:p w:rsidR="008635C9" w:rsidRDefault="008635C9" w:rsidP="00BE5ED4">
            <w:pPr>
              <w:spacing w:after="0"/>
            </w:pPr>
            <w:r>
              <w:t>20</w:t>
            </w:r>
          </w:p>
        </w:tc>
        <w:tc>
          <w:tcPr>
            <w:tcW w:w="1836" w:type="dxa"/>
          </w:tcPr>
          <w:p w:rsidR="008635C9" w:rsidRDefault="008635C9" w:rsidP="00BE5ED4">
            <w:pPr>
              <w:spacing w:after="0"/>
            </w:pPr>
            <w:r>
              <w:t>42</w:t>
            </w:r>
          </w:p>
        </w:tc>
      </w:tr>
      <w:tr w:rsidR="008635C9" w:rsidTr="00EB2767">
        <w:tc>
          <w:tcPr>
            <w:tcW w:w="534" w:type="dxa"/>
          </w:tcPr>
          <w:p w:rsidR="008635C9" w:rsidRDefault="00A7537C" w:rsidP="00BE5ED4">
            <w:pPr>
              <w:spacing w:after="0"/>
            </w:pPr>
            <w:r>
              <w:t>15</w:t>
            </w:r>
          </w:p>
        </w:tc>
        <w:tc>
          <w:tcPr>
            <w:tcW w:w="3402" w:type="dxa"/>
          </w:tcPr>
          <w:p w:rsidR="008635C9" w:rsidRDefault="00FA05BD" w:rsidP="00BE5ED4">
            <w:pPr>
              <w:spacing w:after="0"/>
            </w:pPr>
            <w:r>
              <w:t>Adjustment/review of remuneration to take place when an offer is made by another employer and we wish to retain that staff member</w:t>
            </w:r>
          </w:p>
        </w:tc>
        <w:tc>
          <w:tcPr>
            <w:tcW w:w="1275" w:type="dxa"/>
          </w:tcPr>
          <w:p w:rsidR="008635C9" w:rsidRDefault="00095550" w:rsidP="00BE5ED4">
            <w:pPr>
              <w:spacing w:after="0"/>
            </w:pPr>
            <w:r>
              <w:t>50</w:t>
            </w:r>
          </w:p>
        </w:tc>
        <w:tc>
          <w:tcPr>
            <w:tcW w:w="2835" w:type="dxa"/>
          </w:tcPr>
          <w:p w:rsidR="008635C9" w:rsidRDefault="00095550" w:rsidP="00BE5ED4">
            <w:pPr>
              <w:spacing w:after="0"/>
            </w:pPr>
            <w:r>
              <w:t>19</w:t>
            </w:r>
          </w:p>
        </w:tc>
        <w:tc>
          <w:tcPr>
            <w:tcW w:w="1134" w:type="dxa"/>
          </w:tcPr>
          <w:p w:rsidR="008635C9" w:rsidRDefault="00095550" w:rsidP="00BE5ED4">
            <w:pPr>
              <w:spacing w:after="0"/>
            </w:pPr>
            <w:r>
              <w:t>11</w:t>
            </w:r>
          </w:p>
        </w:tc>
        <w:tc>
          <w:tcPr>
            <w:tcW w:w="1836" w:type="dxa"/>
          </w:tcPr>
          <w:p w:rsidR="008635C9" w:rsidRDefault="00095550" w:rsidP="00BE5ED4">
            <w:pPr>
              <w:spacing w:after="0"/>
            </w:pPr>
            <w:r>
              <w:t>20</w:t>
            </w:r>
          </w:p>
        </w:tc>
      </w:tr>
      <w:tr w:rsidR="00095550" w:rsidTr="00EB2767">
        <w:tc>
          <w:tcPr>
            <w:tcW w:w="534" w:type="dxa"/>
          </w:tcPr>
          <w:p w:rsidR="00095550" w:rsidRDefault="00A7537C" w:rsidP="00BE5ED4">
            <w:pPr>
              <w:spacing w:after="0"/>
            </w:pPr>
            <w:r>
              <w:t>16</w:t>
            </w:r>
          </w:p>
        </w:tc>
        <w:tc>
          <w:tcPr>
            <w:tcW w:w="3402" w:type="dxa"/>
          </w:tcPr>
          <w:p w:rsidR="00095550" w:rsidRDefault="00B80A27" w:rsidP="00BE5ED4">
            <w:pPr>
              <w:spacing w:after="0"/>
            </w:pPr>
            <w:r>
              <w:t>Move to total remuneration structure</w:t>
            </w:r>
          </w:p>
        </w:tc>
        <w:tc>
          <w:tcPr>
            <w:tcW w:w="1275" w:type="dxa"/>
          </w:tcPr>
          <w:p w:rsidR="00095550" w:rsidRDefault="00B80A27" w:rsidP="00BE5ED4">
            <w:pPr>
              <w:spacing w:after="0"/>
            </w:pPr>
            <w:r>
              <w:t>49</w:t>
            </w:r>
          </w:p>
        </w:tc>
        <w:tc>
          <w:tcPr>
            <w:tcW w:w="2835" w:type="dxa"/>
          </w:tcPr>
          <w:p w:rsidR="00095550" w:rsidRDefault="00B80A27" w:rsidP="00BE5ED4">
            <w:pPr>
              <w:spacing w:after="0"/>
            </w:pPr>
            <w:r>
              <w:t>8</w:t>
            </w:r>
          </w:p>
        </w:tc>
        <w:tc>
          <w:tcPr>
            <w:tcW w:w="1134" w:type="dxa"/>
          </w:tcPr>
          <w:p w:rsidR="00095550" w:rsidRDefault="00B80A27" w:rsidP="00BE5ED4">
            <w:pPr>
              <w:spacing w:after="0"/>
            </w:pPr>
            <w:r>
              <w:t>32</w:t>
            </w:r>
          </w:p>
        </w:tc>
        <w:tc>
          <w:tcPr>
            <w:tcW w:w="1836" w:type="dxa"/>
          </w:tcPr>
          <w:p w:rsidR="00095550" w:rsidRDefault="00B80A27" w:rsidP="00BE5ED4">
            <w:pPr>
              <w:spacing w:after="0"/>
            </w:pPr>
            <w:r>
              <w:t>12</w:t>
            </w:r>
          </w:p>
        </w:tc>
      </w:tr>
    </w:tbl>
    <w:p w:rsidR="00BE5ED4" w:rsidRDefault="00BE5ED4" w:rsidP="00BE5ED4">
      <w:pPr>
        <w:spacing w:after="0"/>
      </w:pPr>
      <w:r>
        <w:t xml:space="preserve"> </w:t>
      </w:r>
    </w:p>
    <w:p w:rsidR="00A7537C" w:rsidRDefault="00A7537C" w:rsidP="00BE5ED4">
      <w:pPr>
        <w:spacing w:after="0"/>
      </w:pPr>
      <w:r>
        <w:t xml:space="preserve">This report does no cover all the questions asked but covers the key and certainly the more controversial issues. </w:t>
      </w:r>
    </w:p>
    <w:p w:rsidR="00A7537C" w:rsidRDefault="00A7537C" w:rsidP="00BE5ED4">
      <w:pPr>
        <w:spacing w:after="0"/>
      </w:pPr>
    </w:p>
    <w:p w:rsidR="00A7537C" w:rsidRDefault="00A7537C" w:rsidP="00BE5ED4">
      <w:pPr>
        <w:spacing w:after="0"/>
      </w:pPr>
    </w:p>
    <w:p w:rsidR="00A7537C" w:rsidRDefault="00A7537C" w:rsidP="00BE5ED4">
      <w:pPr>
        <w:spacing w:after="0"/>
      </w:pPr>
    </w:p>
    <w:p w:rsidR="00983535" w:rsidRDefault="00A7537C" w:rsidP="00BE5ED4">
      <w:pPr>
        <w:spacing w:after="0"/>
      </w:pPr>
      <w:r>
        <w:lastRenderedPageBreak/>
        <w:t>The responses above show a support for individual differentiation based on contribution with much of the qualitative comments received on this issue relating to how exactly this would be implemented in order to ensure fairness and consistency</w:t>
      </w:r>
      <w:r w:rsidR="00983535">
        <w:t xml:space="preserve"> and to ensure that this is not a burdensome task</w:t>
      </w:r>
      <w:r>
        <w:t>.</w:t>
      </w:r>
      <w:r w:rsidR="00983535">
        <w:t xml:space="preserve"> Some individuals equated the contribution model with performance management. This term has deliberately been avoided in the policy and the survey because of the differing understandings of what this means, often based on faulty assumptions and lack of accurate information.  </w:t>
      </w:r>
    </w:p>
    <w:p w:rsidR="00983535" w:rsidRDefault="00983535" w:rsidP="00BE5ED4">
      <w:pPr>
        <w:spacing w:after="0"/>
      </w:pPr>
    </w:p>
    <w:p w:rsidR="00A7537C" w:rsidRDefault="00A7537C" w:rsidP="00BE5ED4">
      <w:pPr>
        <w:spacing w:after="0"/>
      </w:pPr>
      <w:r>
        <w:t xml:space="preserve">Interesting to note however, is the lack of support for years of service (39% of respondents) </w:t>
      </w:r>
      <w:r w:rsidRPr="00983535">
        <w:rPr>
          <w:u w:val="single"/>
        </w:rPr>
        <w:t xml:space="preserve">not </w:t>
      </w:r>
      <w:r>
        <w:t xml:space="preserve">being considered as a remuneration differentiator. Put differently, these respondents would want to see Ms X earning more than Ms Y based on Ms X being at Rhodes at that job for a longer period of time. </w:t>
      </w:r>
      <w:r w:rsidR="00983535">
        <w:t xml:space="preserve"> This</w:t>
      </w:r>
      <w:r w:rsidR="00AD5259">
        <w:t>,</w:t>
      </w:r>
      <w:r w:rsidR="00983535">
        <w:t xml:space="preserve"> as a methodology</w:t>
      </w:r>
      <w:r w:rsidR="00AD5259">
        <w:t xml:space="preserve"> for remuneration,</w:t>
      </w:r>
      <w:r w:rsidR="0062254B">
        <w:t xml:space="preserve"> is incompatible</w:t>
      </w:r>
      <w:r w:rsidR="00983535">
        <w:t xml:space="preserve"> with contribution being used as a means of individual differentiation in remuneration. </w:t>
      </w:r>
    </w:p>
    <w:p w:rsidR="00983535" w:rsidRDefault="00983535" w:rsidP="00BE5ED4">
      <w:pPr>
        <w:spacing w:after="0"/>
      </w:pPr>
    </w:p>
    <w:p w:rsidR="00983535" w:rsidRDefault="00983535" w:rsidP="00BE5ED4">
      <w:pPr>
        <w:spacing w:after="0"/>
      </w:pPr>
      <w:r>
        <w:t>There was strong support for the current practice of paying scarci</w:t>
      </w:r>
      <w:r w:rsidR="000C1247">
        <w:t xml:space="preserve">ty allowances but poor support for the payment of an equity premium (42% of respondents did not support this with only 38% of respondents indicating some sort of support (categories of support and support with reservations).  Qualitative comments raise concerns of this not being equitable </w:t>
      </w:r>
      <w:r w:rsidR="00407DAE">
        <w:t>while other comments call for more rigour around the implementation of such a premium e.g. how long does the premium last? would this apply only to under-represented groups in a particular work area?</w:t>
      </w:r>
    </w:p>
    <w:p w:rsidR="00A7537C" w:rsidRDefault="00A7537C" w:rsidP="00BE5ED4">
      <w:pPr>
        <w:spacing w:after="0"/>
      </w:pPr>
    </w:p>
    <w:p w:rsidR="00407DAE" w:rsidRDefault="00407DAE" w:rsidP="00BE5ED4">
      <w:pPr>
        <w:spacing w:after="0"/>
      </w:pPr>
      <w:r>
        <w:t>There was strong support for multiple opportunities to review an individual’</w:t>
      </w:r>
      <w:r w:rsidR="00C32D58">
        <w:t>s remuneration in the course of their career.</w:t>
      </w:r>
    </w:p>
    <w:p w:rsidR="00407DAE" w:rsidRDefault="00407DAE" w:rsidP="00BE5ED4">
      <w:pPr>
        <w:spacing w:after="0"/>
      </w:pPr>
    </w:p>
    <w:p w:rsidR="00C32D58" w:rsidRDefault="00C32D58" w:rsidP="00BE5ED4">
      <w:pPr>
        <w:spacing w:after="0"/>
      </w:pPr>
      <w:r>
        <w:t>Some of t</w:t>
      </w:r>
      <w:r w:rsidR="00407DAE">
        <w:t>he qualitative comments of the survey also pointed to</w:t>
      </w:r>
      <w:r>
        <w:t>:</w:t>
      </w:r>
    </w:p>
    <w:p w:rsidR="00C32D58" w:rsidRDefault="00407DAE" w:rsidP="00C32D58">
      <w:pPr>
        <w:pStyle w:val="ListParagraph"/>
        <w:numPr>
          <w:ilvl w:val="0"/>
          <w:numId w:val="2"/>
        </w:numPr>
        <w:spacing w:after="0"/>
      </w:pPr>
      <w:r>
        <w:t xml:space="preserve">a lack of understanding as regards certain people management practices at </w:t>
      </w:r>
      <w:r w:rsidR="00C32D58">
        <w:t>Rhodes e.g. the grading of jobs;</w:t>
      </w:r>
      <w:r>
        <w:t xml:space="preserve"> </w:t>
      </w:r>
    </w:p>
    <w:p w:rsidR="00C32D58" w:rsidRDefault="0062254B" w:rsidP="00C32D58">
      <w:pPr>
        <w:pStyle w:val="ListParagraph"/>
        <w:numPr>
          <w:ilvl w:val="0"/>
          <w:numId w:val="2"/>
        </w:numPr>
        <w:spacing w:after="0"/>
      </w:pPr>
      <w:r>
        <w:t>the individual not accessing the information available</w:t>
      </w:r>
      <w:r w:rsidR="00407DAE">
        <w:t xml:space="preserve"> e.g. </w:t>
      </w:r>
      <w:r>
        <w:t>indicating that the process of determining sca</w:t>
      </w:r>
      <w:r w:rsidR="00407DAE">
        <w:t xml:space="preserve">rcity allowances </w:t>
      </w:r>
      <w:r>
        <w:t xml:space="preserve">should be </w:t>
      </w:r>
      <w:r w:rsidR="00407DAE">
        <w:t>det</w:t>
      </w:r>
      <w:r>
        <w:t>ermined</w:t>
      </w:r>
      <w:r w:rsidR="00407DAE">
        <w:t xml:space="preserve"> (a protocol </w:t>
      </w:r>
      <w:r w:rsidR="00AD5259">
        <w:t xml:space="preserve">is </w:t>
      </w:r>
      <w:r w:rsidR="00407DAE">
        <w:t xml:space="preserve">available on the HR website indicates exactly how this is done); or </w:t>
      </w:r>
    </w:p>
    <w:p w:rsidR="00407DAE" w:rsidRDefault="00407DAE" w:rsidP="00C32D58">
      <w:pPr>
        <w:pStyle w:val="ListParagraph"/>
        <w:numPr>
          <w:ilvl w:val="0"/>
          <w:numId w:val="2"/>
        </w:numPr>
        <w:spacing w:after="0"/>
      </w:pPr>
      <w:r>
        <w:t>simply inaccurate perceptions e.g.</w:t>
      </w:r>
      <w:r w:rsidR="00AD5259">
        <w:t xml:space="preserve"> a</w:t>
      </w:r>
      <w:r>
        <w:t xml:space="preserve"> statement that the two job categories of lecturer and senior lecturer have been merged into one post namely that of lecturer.</w:t>
      </w:r>
    </w:p>
    <w:p w:rsidR="00AD5259" w:rsidRDefault="00AD5259" w:rsidP="00AD5259">
      <w:pPr>
        <w:spacing w:after="0"/>
      </w:pPr>
    </w:p>
    <w:p w:rsidR="00AD5259" w:rsidRDefault="00AD5259" w:rsidP="00AD5259">
      <w:pPr>
        <w:spacing w:after="0"/>
      </w:pPr>
      <w:r>
        <w:t xml:space="preserve">Areas that will require some more exploration </w:t>
      </w:r>
      <w:r w:rsidR="006530EA">
        <w:t xml:space="preserve">in the finalisation of the policy </w:t>
      </w:r>
      <w:r>
        <w:t>include:</w:t>
      </w:r>
    </w:p>
    <w:p w:rsidR="00AD5259" w:rsidRDefault="006530EA" w:rsidP="00AD5259">
      <w:pPr>
        <w:pStyle w:val="ListParagraph"/>
        <w:numPr>
          <w:ilvl w:val="0"/>
          <w:numId w:val="3"/>
        </w:numPr>
        <w:spacing w:after="0"/>
      </w:pPr>
      <w:r>
        <w:t>The remuneration range proposed;</w:t>
      </w:r>
      <w:r w:rsidR="00EC5D28">
        <w:t xml:space="preserve"> and</w:t>
      </w:r>
    </w:p>
    <w:p w:rsidR="006530EA" w:rsidRDefault="006530EA" w:rsidP="00AD5259">
      <w:pPr>
        <w:pStyle w:val="ListParagraph"/>
        <w:numPr>
          <w:ilvl w:val="0"/>
          <w:numId w:val="3"/>
        </w:numPr>
        <w:spacing w:after="0"/>
      </w:pPr>
      <w:r>
        <w:t>The use of the equity premium</w:t>
      </w:r>
      <w:r w:rsidR="00EC5D28">
        <w:t>.</w:t>
      </w:r>
    </w:p>
    <w:p w:rsidR="00EC5D28" w:rsidRDefault="00EC5D28" w:rsidP="00EC5D28">
      <w:pPr>
        <w:spacing w:after="0"/>
      </w:pPr>
    </w:p>
    <w:p w:rsidR="00EC5D28" w:rsidRDefault="00EC5D28" w:rsidP="00EC5D28">
      <w:pPr>
        <w:spacing w:after="0"/>
      </w:pPr>
      <w:r>
        <w:t>HR is currently discussing the results of this survey with NTEU. As previously agreed with NEHAWU, NEHAWU will provide verbal feedback from i</w:t>
      </w:r>
      <w:r w:rsidR="00156757">
        <w:t>t</w:t>
      </w:r>
      <w:r>
        <w:t xml:space="preserve">s constituency as regards the proposals of the policy. </w:t>
      </w:r>
    </w:p>
    <w:p w:rsidR="00EC5D28" w:rsidRDefault="00EC5D28" w:rsidP="00EC5D28">
      <w:pPr>
        <w:spacing w:after="0"/>
      </w:pPr>
    </w:p>
    <w:p w:rsidR="00EC5D28" w:rsidRDefault="00EC5D28" w:rsidP="00EC5D28">
      <w:pPr>
        <w:spacing w:after="0"/>
      </w:pPr>
      <w:r>
        <w:t>The policy approval process will be:</w:t>
      </w:r>
    </w:p>
    <w:p w:rsidR="00C66AA6" w:rsidRDefault="00C66AA6" w:rsidP="00C66AA6">
      <w:pPr>
        <w:pStyle w:val="ListParagraph"/>
        <w:numPr>
          <w:ilvl w:val="0"/>
          <w:numId w:val="4"/>
        </w:numPr>
        <w:spacing w:after="0"/>
      </w:pPr>
      <w:r>
        <w:t>Remuneration Committee of Council in September to give support to the proposals (not for approval at this stage)</w:t>
      </w:r>
    </w:p>
    <w:p w:rsidR="00C66AA6" w:rsidRDefault="00C66AA6" w:rsidP="00C66AA6">
      <w:pPr>
        <w:pStyle w:val="ListParagraph"/>
        <w:numPr>
          <w:ilvl w:val="0"/>
          <w:numId w:val="4"/>
        </w:numPr>
        <w:spacing w:after="0"/>
      </w:pPr>
      <w:r>
        <w:t>Senate in November</w:t>
      </w:r>
    </w:p>
    <w:p w:rsidR="00C66AA6" w:rsidRDefault="00C66AA6" w:rsidP="00C66AA6">
      <w:pPr>
        <w:pStyle w:val="ListParagraph"/>
        <w:numPr>
          <w:ilvl w:val="0"/>
          <w:numId w:val="4"/>
        </w:numPr>
        <w:spacing w:after="0"/>
      </w:pPr>
      <w:r>
        <w:t>Council in December</w:t>
      </w:r>
    </w:p>
    <w:p w:rsidR="00C66AA6" w:rsidRDefault="00C66AA6" w:rsidP="00C66AA6">
      <w:pPr>
        <w:spacing w:after="0"/>
      </w:pPr>
    </w:p>
    <w:p w:rsidR="004C6531" w:rsidRDefault="004C6531" w:rsidP="00C66AA6">
      <w:pPr>
        <w:spacing w:after="0"/>
      </w:pPr>
    </w:p>
    <w:p w:rsidR="00C66AA6" w:rsidRPr="00C66AA6" w:rsidRDefault="00C66AA6" w:rsidP="00C66AA6">
      <w:pPr>
        <w:spacing w:after="0"/>
        <w:jc w:val="right"/>
        <w:rPr>
          <w:b/>
        </w:rPr>
      </w:pPr>
      <w:r w:rsidRPr="00C66AA6">
        <w:rPr>
          <w:b/>
        </w:rPr>
        <w:t>Written by: Director, HR</w:t>
      </w:r>
    </w:p>
    <w:p w:rsidR="00C66AA6" w:rsidRPr="00C66AA6" w:rsidRDefault="00C66AA6" w:rsidP="00C66AA6">
      <w:pPr>
        <w:spacing w:after="0"/>
        <w:jc w:val="right"/>
        <w:rPr>
          <w:b/>
        </w:rPr>
      </w:pPr>
      <w:r w:rsidRPr="00C66AA6">
        <w:rPr>
          <w:b/>
        </w:rPr>
        <w:t>Last updated: 13 August 2014</w:t>
      </w:r>
    </w:p>
    <w:p w:rsidR="006530EA" w:rsidRDefault="006530EA" w:rsidP="00EC5D28">
      <w:pPr>
        <w:pStyle w:val="ListParagraph"/>
        <w:spacing w:after="0"/>
      </w:pPr>
    </w:p>
    <w:p w:rsidR="00407DAE" w:rsidRDefault="00407DAE" w:rsidP="00BE5ED4">
      <w:pPr>
        <w:spacing w:after="0"/>
      </w:pPr>
    </w:p>
    <w:sectPr w:rsidR="00407DAE" w:rsidSect="00352BC3">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61" w:rsidRDefault="00B53D61" w:rsidP="00EB2767">
      <w:pPr>
        <w:spacing w:after="0" w:line="240" w:lineRule="auto"/>
      </w:pPr>
      <w:r>
        <w:separator/>
      </w:r>
    </w:p>
  </w:endnote>
  <w:endnote w:type="continuationSeparator" w:id="0">
    <w:p w:rsidR="00B53D61" w:rsidRDefault="00B53D61" w:rsidP="00EB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62779"/>
      <w:docPartObj>
        <w:docPartGallery w:val="Page Numbers (Bottom of Page)"/>
        <w:docPartUnique/>
      </w:docPartObj>
    </w:sdtPr>
    <w:sdtEndPr>
      <w:rPr>
        <w:noProof/>
      </w:rPr>
    </w:sdtEndPr>
    <w:sdtContent>
      <w:p w:rsidR="00EB2767" w:rsidRDefault="00EB2767">
        <w:pPr>
          <w:pStyle w:val="Footer"/>
          <w:jc w:val="right"/>
        </w:pPr>
        <w:r>
          <w:fldChar w:fldCharType="begin"/>
        </w:r>
        <w:r>
          <w:instrText xml:space="preserve"> PAGE   \* MERGEFORMAT </w:instrText>
        </w:r>
        <w:r>
          <w:fldChar w:fldCharType="separate"/>
        </w:r>
        <w:r w:rsidR="00526D5C">
          <w:rPr>
            <w:noProof/>
          </w:rPr>
          <w:t>1</w:t>
        </w:r>
        <w:r>
          <w:rPr>
            <w:noProof/>
          </w:rPr>
          <w:fldChar w:fldCharType="end"/>
        </w:r>
      </w:p>
    </w:sdtContent>
  </w:sdt>
  <w:p w:rsidR="00EB2767" w:rsidRDefault="00EB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61" w:rsidRDefault="00B53D61" w:rsidP="00EB2767">
      <w:pPr>
        <w:spacing w:after="0" w:line="240" w:lineRule="auto"/>
      </w:pPr>
      <w:r>
        <w:separator/>
      </w:r>
    </w:p>
  </w:footnote>
  <w:footnote w:type="continuationSeparator" w:id="0">
    <w:p w:rsidR="00B53D61" w:rsidRDefault="00B53D61" w:rsidP="00EB2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120"/>
    <w:multiLevelType w:val="hybridMultilevel"/>
    <w:tmpl w:val="C8064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E23987"/>
    <w:multiLevelType w:val="hybridMultilevel"/>
    <w:tmpl w:val="50D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32D75"/>
    <w:multiLevelType w:val="hybridMultilevel"/>
    <w:tmpl w:val="379A6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7750B1"/>
    <w:multiLevelType w:val="hybridMultilevel"/>
    <w:tmpl w:val="DD92E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33"/>
    <w:rsid w:val="0005147F"/>
    <w:rsid w:val="00095550"/>
    <w:rsid w:val="000C1247"/>
    <w:rsid w:val="00156757"/>
    <w:rsid w:val="0027698A"/>
    <w:rsid w:val="002A7568"/>
    <w:rsid w:val="00352BC3"/>
    <w:rsid w:val="00407DAE"/>
    <w:rsid w:val="004917D8"/>
    <w:rsid w:val="004C6531"/>
    <w:rsid w:val="004E3A15"/>
    <w:rsid w:val="004E7479"/>
    <w:rsid w:val="00526D5C"/>
    <w:rsid w:val="00535A6B"/>
    <w:rsid w:val="005965B3"/>
    <w:rsid w:val="00615A5F"/>
    <w:rsid w:val="0062254B"/>
    <w:rsid w:val="006530EA"/>
    <w:rsid w:val="00715AA0"/>
    <w:rsid w:val="008635C9"/>
    <w:rsid w:val="00873177"/>
    <w:rsid w:val="008E3E33"/>
    <w:rsid w:val="009605F6"/>
    <w:rsid w:val="00983535"/>
    <w:rsid w:val="00A57268"/>
    <w:rsid w:val="00A7537C"/>
    <w:rsid w:val="00AD5259"/>
    <w:rsid w:val="00AD6B5C"/>
    <w:rsid w:val="00B4296E"/>
    <w:rsid w:val="00B53D61"/>
    <w:rsid w:val="00B61B1F"/>
    <w:rsid w:val="00B80A27"/>
    <w:rsid w:val="00BE5ED4"/>
    <w:rsid w:val="00C32D58"/>
    <w:rsid w:val="00C35FDB"/>
    <w:rsid w:val="00C4508C"/>
    <w:rsid w:val="00C66AA6"/>
    <w:rsid w:val="00D61CCA"/>
    <w:rsid w:val="00E00682"/>
    <w:rsid w:val="00EB2767"/>
    <w:rsid w:val="00EC5D28"/>
    <w:rsid w:val="00FA05BD"/>
    <w:rsid w:val="00FE66AB"/>
    <w:rsid w:val="00FF6E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table" w:customStyle="1" w:styleId="QTable">
    <w:name w:val="QTable"/>
    <w:uiPriority w:val="99"/>
    <w:qFormat/>
    <w:rsid w:val="008E3E33"/>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Bar">
    <w:name w:val="QBar"/>
    <w:uiPriority w:val="99"/>
    <w:qFormat/>
    <w:rsid w:val="008E3E33"/>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8E3E33"/>
    <w:rPr>
      <w:rFonts w:asciiTheme="minorHAnsi" w:eastAsiaTheme="minorEastAsia" w:hAnsiTheme="minorHAnsi" w:cstheme="minorBidi"/>
      <w:color w:val="FFFFFF" w:themeColor="background1"/>
      <w:sz w:val="22"/>
      <w:szCs w:val="22"/>
    </w:rPr>
  </w:style>
  <w:style w:type="table" w:styleId="TableGrid">
    <w:name w:val="Table Grid"/>
    <w:basedOn w:val="TableNormal"/>
    <w:uiPriority w:val="59"/>
    <w:rsid w:val="00BE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67"/>
    <w:rPr>
      <w:rFonts w:ascii="Calibri" w:hAnsi="Calibri"/>
      <w:sz w:val="22"/>
      <w:szCs w:val="22"/>
      <w:lang w:val="en-ZA"/>
    </w:rPr>
  </w:style>
  <w:style w:type="paragraph" w:styleId="Footer">
    <w:name w:val="footer"/>
    <w:basedOn w:val="Normal"/>
    <w:link w:val="FooterChar"/>
    <w:uiPriority w:val="99"/>
    <w:unhideWhenUsed/>
    <w:rsid w:val="00EB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67"/>
    <w:rPr>
      <w:rFonts w:ascii="Calibri" w:hAnsi="Calibr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table" w:customStyle="1" w:styleId="QTable">
    <w:name w:val="QTable"/>
    <w:uiPriority w:val="99"/>
    <w:qFormat/>
    <w:rsid w:val="008E3E33"/>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Bar">
    <w:name w:val="QBar"/>
    <w:uiPriority w:val="99"/>
    <w:qFormat/>
    <w:rsid w:val="008E3E33"/>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8E3E33"/>
    <w:rPr>
      <w:rFonts w:asciiTheme="minorHAnsi" w:eastAsiaTheme="minorEastAsia" w:hAnsiTheme="minorHAnsi" w:cstheme="minorBidi"/>
      <w:color w:val="FFFFFF" w:themeColor="background1"/>
      <w:sz w:val="22"/>
      <w:szCs w:val="22"/>
    </w:rPr>
  </w:style>
  <w:style w:type="table" w:styleId="TableGrid">
    <w:name w:val="Table Grid"/>
    <w:basedOn w:val="TableNormal"/>
    <w:uiPriority w:val="59"/>
    <w:rsid w:val="00BE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67"/>
    <w:rPr>
      <w:rFonts w:ascii="Calibri" w:hAnsi="Calibri"/>
      <w:sz w:val="22"/>
      <w:szCs w:val="22"/>
      <w:lang w:val="en-ZA"/>
    </w:rPr>
  </w:style>
  <w:style w:type="paragraph" w:styleId="Footer">
    <w:name w:val="footer"/>
    <w:basedOn w:val="Normal"/>
    <w:link w:val="FooterChar"/>
    <w:uiPriority w:val="99"/>
    <w:unhideWhenUsed/>
    <w:rsid w:val="00EB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67"/>
    <w:rPr>
      <w:rFonts w:ascii="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2014-08-14T14:56:00Z</dcterms:created>
  <dcterms:modified xsi:type="dcterms:W3CDTF">2014-08-14T14:56:00Z</dcterms:modified>
</cp:coreProperties>
</file>