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97" w:rsidRPr="00B73C97" w:rsidRDefault="00B73C97" w:rsidP="00B73C97">
      <w:pPr>
        <w:spacing w:before="100" w:beforeAutospacing="1" w:after="100" w:afterAutospacing="1" w:line="240" w:lineRule="auto"/>
        <w:rPr>
          <w:rFonts w:ascii="Arial" w:eastAsia="Times New Roman" w:hAnsi="Arial" w:cs="Arial"/>
          <w:b/>
          <w:bCs/>
          <w:color w:val="000000"/>
          <w:sz w:val="18"/>
          <w:szCs w:val="18"/>
          <w:lang w:eastAsia="en-ZA"/>
        </w:rPr>
      </w:pPr>
      <w:bookmarkStart w:id="0" w:name="ce1"/>
      <w:bookmarkEnd w:id="0"/>
      <w:r w:rsidRPr="00B73C97">
        <w:rPr>
          <w:rFonts w:ascii="Arial" w:eastAsia="Times New Roman" w:hAnsi="Arial" w:cs="Arial"/>
          <w:b/>
          <w:bCs/>
          <w:color w:val="000000"/>
          <w:sz w:val="17"/>
          <w:lang w:eastAsia="en-ZA"/>
        </w:rPr>
        <w:t xml:space="preserve">Exempt and intend to stay 90 days or less </w:t>
      </w:r>
    </w:p>
    <w:p w:rsidR="00B73C97" w:rsidRPr="00B73C97" w:rsidRDefault="00B73C97" w:rsidP="00B73C97">
      <w:p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If you hold a national passport (diplomatic, official or ordinary) or a travel document for the any one of the following listed countries / territories / international organisations, you will not need to apply for a visa before arriving at a South African port of entry if you intend to stay in the country for 90 days or less: </w:t>
      </w:r>
    </w:p>
    <w:tbl>
      <w:tblPr>
        <w:tblStyle w:val="LightShading-Accent5"/>
        <w:tblW w:w="6920" w:type="dxa"/>
        <w:jc w:val="center"/>
        <w:tblLook w:val="04A0"/>
      </w:tblPr>
      <w:tblGrid>
        <w:gridCol w:w="3208"/>
        <w:gridCol w:w="3712"/>
      </w:tblGrid>
      <w:tr w:rsidR="00B73C97" w:rsidRPr="00B73C97" w:rsidTr="0018133B">
        <w:trPr>
          <w:cnfStyle w:val="100000000000"/>
          <w:jc w:val="center"/>
        </w:trPr>
        <w:tc>
          <w:tcPr>
            <w:cnfStyle w:val="001000000000"/>
            <w:tcW w:w="3166" w:type="dxa"/>
            <w:vAlign w:val="center"/>
            <w:hideMark/>
          </w:tcPr>
          <w:p w:rsidR="00B73C97" w:rsidRPr="00B73C97" w:rsidRDefault="00B73C97" w:rsidP="0018133B">
            <w:pPr>
              <w:ind w:right="-69"/>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African Union Laissez Passer</w:t>
            </w:r>
          </w:p>
        </w:tc>
        <w:tc>
          <w:tcPr>
            <w:tcW w:w="3664" w:type="dxa"/>
            <w:vAlign w:val="center"/>
            <w:hideMark/>
          </w:tcPr>
          <w:p w:rsidR="00B73C97" w:rsidRPr="00B73C97" w:rsidRDefault="00B73C97" w:rsidP="0018133B">
            <w:pPr>
              <w:cnfStyle w:val="1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Liechtenstein</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Andorra</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Luxemburg</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Argentina</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Malta</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Australia</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Monaco</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Austria</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Netherlands</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Belgium</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New Zealand</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Botswana</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Norway</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Brazil</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Paraguay</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Canada</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Portugal</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Chile</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San Marino</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Czech Republic</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Singapore</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Denmark</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Spain</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Ecuador</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St Vincent &amp; the Grenadines</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Finland</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Sweden</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France</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Switzerland</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Germany</w:t>
            </w:r>
          </w:p>
        </w:tc>
        <w:tc>
          <w:tcPr>
            <w:tcW w:w="3664" w:type="dxa"/>
            <w:vAlign w:val="center"/>
            <w:hideMark/>
          </w:tcPr>
          <w:p w:rsidR="00B73C97" w:rsidRPr="00B73C97" w:rsidRDefault="00B73C97" w:rsidP="0018133B">
            <w:pPr>
              <w:spacing w:before="100" w:beforeAutospacing="1" w:after="100" w:afterAutospacing="1"/>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Tanzania (90 days per year from 1 Novemebr 2010)</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Greece</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United Kingdom of Great Britain</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Iceland</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Northern Ireland</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Ireland</w:t>
            </w:r>
          </w:p>
        </w:tc>
        <w:tc>
          <w:tcPr>
            <w:tcW w:w="3664" w:type="dxa"/>
            <w:vAlign w:val="center"/>
            <w:hideMark/>
          </w:tcPr>
          <w:p w:rsidR="00B73C97" w:rsidRPr="00B73C97" w:rsidRDefault="00B73C97" w:rsidP="0018133B">
            <w:pPr>
              <w:spacing w:before="100" w:beforeAutospacing="1" w:after="100" w:afterAutospacing="1"/>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British Islands of Bailiwick, Guernsey, Jersey, Isle of Man and Virgin Islands</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Israel</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British Overseas Territories namely: Anguilla, Bermuda, British Antarctic Territory, British Indian Ocean Territory, British Virgin Islands, Cayman Islands, Falkland Islands, Gibraltar, Montserrat, St Helena and Dependencies (Ascension Island, Gough Island and Tristan da Cuna), Pitcairn, Henderson, Ducie and Oeno Islands, the Sovereign Base Areas of Cyprus, South Georgia and South Sandwich Islands and the Turks and Caicos Island</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Italy</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Uruguay</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Jamaica</w:t>
            </w: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Venezuela</w:t>
            </w:r>
          </w:p>
        </w:tc>
      </w:tr>
      <w:tr w:rsidR="00B73C97" w:rsidRPr="00B73C97" w:rsidTr="0018133B">
        <w:trPr>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Japan</w:t>
            </w:r>
          </w:p>
        </w:tc>
        <w:tc>
          <w:tcPr>
            <w:tcW w:w="3664" w:type="dxa"/>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United States of America</w:t>
            </w:r>
          </w:p>
        </w:tc>
      </w:tr>
      <w:tr w:rsidR="00B73C97" w:rsidRPr="00B73C97" w:rsidTr="0018133B">
        <w:trPr>
          <w:cnfStyle w:val="000000100000"/>
          <w:jc w:val="center"/>
        </w:trPr>
        <w:tc>
          <w:tcPr>
            <w:cnfStyle w:val="001000000000"/>
            <w:tcW w:w="3166" w:type="dxa"/>
            <w:vAlign w:val="center"/>
            <w:hideMark/>
          </w:tcPr>
          <w:p w:rsidR="00B73C97" w:rsidRPr="00B73C97" w:rsidRDefault="00B73C97" w:rsidP="0018133B">
            <w:pPr>
              <w:rPr>
                <w:rFonts w:ascii="Arial" w:eastAsia="Times New Roman" w:hAnsi="Arial" w:cs="Arial"/>
                <w:color w:val="000000"/>
                <w:sz w:val="17"/>
                <w:szCs w:val="17"/>
                <w:lang w:eastAsia="en-ZA"/>
              </w:rPr>
            </w:pPr>
          </w:p>
        </w:tc>
        <w:tc>
          <w:tcPr>
            <w:tcW w:w="3664" w:type="dxa"/>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Zimbabwe</w:t>
            </w:r>
          </w:p>
        </w:tc>
      </w:tr>
    </w:tbl>
    <w:p w:rsidR="00B73C97" w:rsidRPr="00B73C97" w:rsidRDefault="00B73C97" w:rsidP="00B73C97">
      <w:pPr>
        <w:spacing w:before="100" w:beforeAutospacing="1" w:after="100" w:afterAutospacing="1" w:line="240" w:lineRule="auto"/>
        <w:rPr>
          <w:rFonts w:ascii="Arial" w:eastAsia="Times New Roman" w:hAnsi="Arial" w:cs="Arial"/>
          <w:b/>
          <w:bCs/>
          <w:color w:val="000000"/>
          <w:sz w:val="18"/>
          <w:szCs w:val="18"/>
          <w:lang w:eastAsia="en-ZA"/>
        </w:rPr>
      </w:pPr>
      <w:r w:rsidRPr="00B73C97">
        <w:rPr>
          <w:rFonts w:ascii="Arial" w:eastAsia="Times New Roman" w:hAnsi="Arial" w:cs="Arial"/>
          <w:b/>
          <w:bCs/>
          <w:color w:val="000000"/>
          <w:sz w:val="18"/>
          <w:szCs w:val="18"/>
          <w:lang w:eastAsia="en-ZA"/>
        </w:rPr>
        <w:t> </w:t>
      </w:r>
    </w:p>
    <w:p w:rsidR="00B73C97" w:rsidRPr="00B73C97" w:rsidRDefault="00B73C97" w:rsidP="00B73C97">
      <w:pPr>
        <w:spacing w:before="100" w:beforeAutospacing="1" w:after="100" w:afterAutospacing="1" w:line="240" w:lineRule="auto"/>
        <w:rPr>
          <w:rFonts w:ascii="Arial" w:eastAsia="Times New Roman" w:hAnsi="Arial" w:cs="Arial"/>
          <w:color w:val="000000"/>
          <w:sz w:val="17"/>
          <w:szCs w:val="17"/>
          <w:lang w:eastAsia="en-ZA"/>
        </w:rPr>
      </w:pPr>
      <w:bookmarkStart w:id="1" w:name="ce3"/>
      <w:bookmarkEnd w:id="1"/>
      <w:r w:rsidRPr="00B73C97">
        <w:rPr>
          <w:rFonts w:ascii="Arial" w:eastAsia="Times New Roman" w:hAnsi="Arial" w:cs="Arial"/>
          <w:b/>
          <w:bCs/>
          <w:color w:val="000000"/>
          <w:sz w:val="17"/>
          <w:lang w:eastAsia="en-ZA"/>
        </w:rPr>
        <w:t xml:space="preserve">Exempt and intend to stay for 30 days or less </w:t>
      </w:r>
    </w:p>
    <w:p w:rsidR="00B73C97" w:rsidRPr="00B73C97" w:rsidRDefault="00B73C97" w:rsidP="00B73C97">
      <w:p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If you hold a national passport (diplomatic, official or ordinary) or a travel document for the any one of the following listed countries / territories / international organizations, you will not need to apply for a visa before arriving at a South African port of entry if you intend to stay for a period of 30 days or less, or are in transit: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Antigua and Barbuda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Barbados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Belize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Benin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Bolivia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Cape Verde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Costa Rica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Cyprus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Gabon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Guyana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Hong Kong (only with regard to holders of Hong Kong British National Overseas passports and Hong Kong Special Administrative Region passports),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Hungary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Jordan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Lesotho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lastRenderedPageBreak/>
        <w:t xml:space="preserve">Macau (only with regard to holders of Macau Special Administrative Region passports (MSAR))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Malaysia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Malawi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Maldives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Mauritius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Mozambique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Namibia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Peru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Poland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Seychelles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Slovak Republic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South Korea (Republic)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Swaziland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Thailand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Turkey </w:t>
      </w:r>
    </w:p>
    <w:p w:rsidR="00B73C97" w:rsidRPr="00B73C97" w:rsidRDefault="00B73C97" w:rsidP="00B73C97">
      <w:pPr>
        <w:numPr>
          <w:ilvl w:val="0"/>
          <w:numId w:val="1"/>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Zambia </w:t>
      </w:r>
    </w:p>
    <w:p w:rsidR="00B73C97" w:rsidRPr="00B73C97" w:rsidRDefault="00B73C97" w:rsidP="00B73C97">
      <w:pPr>
        <w:spacing w:before="100" w:beforeAutospacing="1" w:after="100" w:afterAutospacing="1" w:line="240" w:lineRule="auto"/>
        <w:rPr>
          <w:rFonts w:ascii="Arial" w:eastAsia="Times New Roman" w:hAnsi="Arial" w:cs="Arial"/>
          <w:b/>
          <w:bCs/>
          <w:color w:val="000000"/>
          <w:sz w:val="18"/>
          <w:szCs w:val="18"/>
          <w:lang w:eastAsia="en-ZA"/>
        </w:rPr>
      </w:pPr>
      <w:r w:rsidRPr="00B73C97">
        <w:rPr>
          <w:rFonts w:ascii="Arial" w:eastAsia="Times New Roman" w:hAnsi="Arial" w:cs="Arial"/>
          <w:b/>
          <w:bCs/>
          <w:color w:val="000000"/>
          <w:sz w:val="18"/>
          <w:szCs w:val="18"/>
          <w:lang w:eastAsia="en-ZA"/>
        </w:rPr>
        <w:t> </w:t>
      </w:r>
    </w:p>
    <w:p w:rsidR="00B73C97" w:rsidRPr="00B73C97" w:rsidRDefault="00B73C97" w:rsidP="00B73C97">
      <w:pPr>
        <w:spacing w:before="100" w:beforeAutospacing="1" w:after="100" w:afterAutospacing="1" w:line="240" w:lineRule="auto"/>
        <w:rPr>
          <w:rFonts w:ascii="Arial" w:eastAsia="Times New Roman" w:hAnsi="Arial" w:cs="Arial"/>
          <w:b/>
          <w:bCs/>
          <w:color w:val="000000"/>
          <w:sz w:val="18"/>
          <w:szCs w:val="18"/>
          <w:lang w:eastAsia="en-ZA"/>
        </w:rPr>
      </w:pPr>
      <w:bookmarkStart w:id="2" w:name="ce4"/>
      <w:bookmarkEnd w:id="2"/>
      <w:r w:rsidRPr="00B73C97">
        <w:rPr>
          <w:rFonts w:ascii="Arial" w:eastAsia="Times New Roman" w:hAnsi="Arial" w:cs="Arial"/>
          <w:b/>
          <w:bCs/>
          <w:color w:val="000000"/>
          <w:sz w:val="17"/>
          <w:lang w:eastAsia="en-ZA"/>
        </w:rPr>
        <w:t>Exemption for Diplomatic Official and Service Passport</w:t>
      </w:r>
    </w:p>
    <w:p w:rsidR="00B73C97" w:rsidRPr="00B73C97" w:rsidRDefault="00B73C97" w:rsidP="00B73C97">
      <w:p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If you hold a national passport (diplomatic, official and service) or a travel document for the any one of the following listed countries / territories / international organizations, you will not need to apply for a visa before arriving at a South African port of entry if:</w:t>
      </w:r>
    </w:p>
    <w:p w:rsidR="00B73C97" w:rsidRPr="00B73C97" w:rsidRDefault="00B73C97" w:rsidP="00B73C97">
      <w:pPr>
        <w:numPr>
          <w:ilvl w:val="0"/>
          <w:numId w:val="2"/>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you intend to stay for the period indicated in brackets below or less </w:t>
      </w:r>
    </w:p>
    <w:p w:rsidR="00B73C97" w:rsidRPr="00B73C97" w:rsidRDefault="00B73C97" w:rsidP="00B73C97">
      <w:pPr>
        <w:numPr>
          <w:ilvl w:val="0"/>
          <w:numId w:val="2"/>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you are in transit </w:t>
      </w:r>
    </w:p>
    <w:p w:rsidR="00B73C97" w:rsidRPr="00B73C97" w:rsidRDefault="00B73C97" w:rsidP="00B73C97">
      <w:pPr>
        <w:numPr>
          <w:ilvl w:val="0"/>
          <w:numId w:val="2"/>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and on condition that your visa exemption status has not been withdrawn by the Department of Home Affairs </w:t>
      </w:r>
    </w:p>
    <w:tbl>
      <w:tblPr>
        <w:tblStyle w:val="LightShading-Accent5"/>
        <w:tblW w:w="6585" w:type="dxa"/>
        <w:jc w:val="center"/>
        <w:tblLook w:val="04A0"/>
      </w:tblPr>
      <w:tblGrid>
        <w:gridCol w:w="3838"/>
        <w:gridCol w:w="2747"/>
      </w:tblGrid>
      <w:tr w:rsidR="00B73C97" w:rsidRPr="00B73C97" w:rsidTr="0018133B">
        <w:trPr>
          <w:cnfStyle w:val="100000000000"/>
          <w:jc w:val="center"/>
        </w:trPr>
        <w:tc>
          <w:tcPr>
            <w:cnfStyle w:val="001000000000"/>
            <w:tcW w:w="3015" w:type="dxa"/>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Albania (120 days)</w:t>
            </w:r>
          </w:p>
        </w:tc>
        <w:tc>
          <w:tcPr>
            <w:tcW w:w="3420" w:type="dxa"/>
            <w:vAlign w:val="center"/>
            <w:hideMark/>
          </w:tcPr>
          <w:p w:rsidR="00B73C97" w:rsidRPr="00B73C97" w:rsidRDefault="00B73C97" w:rsidP="0018133B">
            <w:pPr>
              <w:cnfStyle w:val="1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Morocco (30 days)</w:t>
            </w:r>
          </w:p>
        </w:tc>
      </w:tr>
      <w:tr w:rsidR="00B73C97" w:rsidRPr="00B73C97" w:rsidTr="0018133B">
        <w:trPr>
          <w:cnfStyle w:val="000000100000"/>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Algeria (30 days)</w:t>
            </w:r>
          </w:p>
        </w:tc>
        <w:tc>
          <w:tcPr>
            <w:tcW w:w="0" w:type="auto"/>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Mozambique (90 days)</w:t>
            </w:r>
          </w:p>
        </w:tc>
      </w:tr>
      <w:tr w:rsidR="00B73C97" w:rsidRPr="00B73C97" w:rsidTr="0018133B">
        <w:trPr>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Angola (90 days)</w:t>
            </w:r>
          </w:p>
        </w:tc>
        <w:tc>
          <w:tcPr>
            <w:tcW w:w="0" w:type="auto"/>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Paraguay (120 days)</w:t>
            </w:r>
          </w:p>
        </w:tc>
      </w:tr>
      <w:tr w:rsidR="00B73C97" w:rsidRPr="00B73C97" w:rsidTr="0018133B">
        <w:trPr>
          <w:cnfStyle w:val="000000100000"/>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Belarus (90 days)</w:t>
            </w:r>
          </w:p>
        </w:tc>
        <w:tc>
          <w:tcPr>
            <w:tcW w:w="0" w:type="auto"/>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Paraguay (120 days)</w:t>
            </w:r>
          </w:p>
        </w:tc>
      </w:tr>
      <w:tr w:rsidR="00B73C97" w:rsidRPr="00B73C97" w:rsidTr="0018133B">
        <w:trPr>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Bulgaria (90 days)</w:t>
            </w:r>
          </w:p>
        </w:tc>
        <w:tc>
          <w:tcPr>
            <w:tcW w:w="0" w:type="auto"/>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Poland (90 days)</w:t>
            </w:r>
          </w:p>
        </w:tc>
      </w:tr>
      <w:tr w:rsidR="00B73C97" w:rsidRPr="00B73C97" w:rsidTr="0018133B">
        <w:trPr>
          <w:cnfStyle w:val="000000100000"/>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Cyprus (90 days)</w:t>
            </w:r>
          </w:p>
        </w:tc>
        <w:tc>
          <w:tcPr>
            <w:tcW w:w="0" w:type="auto"/>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Russian Federation (90 days)</w:t>
            </w:r>
          </w:p>
        </w:tc>
      </w:tr>
      <w:tr w:rsidR="00B73C97" w:rsidRPr="00B73C97" w:rsidTr="0018133B">
        <w:trPr>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Comoros (90 days)</w:t>
            </w:r>
          </w:p>
        </w:tc>
        <w:tc>
          <w:tcPr>
            <w:tcW w:w="0" w:type="auto"/>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Romania (90 days)</w:t>
            </w:r>
          </w:p>
        </w:tc>
      </w:tr>
      <w:tr w:rsidR="00B73C97" w:rsidRPr="00B73C97" w:rsidTr="0018133B">
        <w:trPr>
          <w:cnfStyle w:val="000000100000"/>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China (PROC) (30 days) (only Diplomatic passport holders)</w:t>
            </w:r>
          </w:p>
        </w:tc>
        <w:tc>
          <w:tcPr>
            <w:tcW w:w="0" w:type="auto"/>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Rwanda (30 days)</w:t>
            </w:r>
          </w:p>
        </w:tc>
      </w:tr>
      <w:tr w:rsidR="00B73C97" w:rsidRPr="00B73C97" w:rsidTr="0018133B">
        <w:trPr>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Croatia (90 days)</w:t>
            </w:r>
          </w:p>
        </w:tc>
        <w:tc>
          <w:tcPr>
            <w:tcW w:w="0" w:type="auto"/>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Slovak (90 days)</w:t>
            </w:r>
          </w:p>
        </w:tc>
      </w:tr>
      <w:tr w:rsidR="00B73C97" w:rsidRPr="00B73C97" w:rsidTr="0018133B">
        <w:trPr>
          <w:cnfStyle w:val="000000100000"/>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Egypt (30 days)</w:t>
            </w:r>
          </w:p>
        </w:tc>
        <w:tc>
          <w:tcPr>
            <w:tcW w:w="0" w:type="auto"/>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Slovenia (120 days)</w:t>
            </w:r>
          </w:p>
        </w:tc>
      </w:tr>
      <w:tr w:rsidR="00B73C97" w:rsidRPr="00B73C97" w:rsidTr="0018133B">
        <w:trPr>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Guinea (90 days)</w:t>
            </w:r>
          </w:p>
        </w:tc>
        <w:tc>
          <w:tcPr>
            <w:tcW w:w="0" w:type="auto"/>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Tanzania (90 days)</w:t>
            </w:r>
          </w:p>
        </w:tc>
      </w:tr>
      <w:tr w:rsidR="00B73C97" w:rsidRPr="00B73C97" w:rsidTr="0018133B">
        <w:trPr>
          <w:cnfStyle w:val="000000100000"/>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Hungary (120 days)</w:t>
            </w:r>
          </w:p>
        </w:tc>
        <w:tc>
          <w:tcPr>
            <w:tcW w:w="0" w:type="auto"/>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Thailand (90 days)</w:t>
            </w:r>
          </w:p>
        </w:tc>
      </w:tr>
      <w:tr w:rsidR="00B73C97" w:rsidRPr="00B73C97" w:rsidTr="0018133B">
        <w:trPr>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Ivory Coast (30 days)</w:t>
            </w:r>
          </w:p>
        </w:tc>
        <w:tc>
          <w:tcPr>
            <w:tcW w:w="0" w:type="auto"/>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Tunisia (90 days)</w:t>
            </w:r>
          </w:p>
        </w:tc>
      </w:tr>
      <w:tr w:rsidR="00B73C97" w:rsidRPr="00B73C97" w:rsidTr="0018133B">
        <w:trPr>
          <w:cnfStyle w:val="000000100000"/>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Kenya (30 days)</w:t>
            </w:r>
          </w:p>
        </w:tc>
        <w:tc>
          <w:tcPr>
            <w:tcW w:w="0" w:type="auto"/>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Vietnam (90 days)</w:t>
            </w:r>
          </w:p>
        </w:tc>
      </w:tr>
      <w:tr w:rsidR="00B73C97" w:rsidRPr="00B73C97" w:rsidTr="0018133B">
        <w:trPr>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Mexico (90 days)</w:t>
            </w:r>
          </w:p>
        </w:tc>
        <w:tc>
          <w:tcPr>
            <w:tcW w:w="0" w:type="auto"/>
            <w:vAlign w:val="center"/>
            <w:hideMark/>
          </w:tcPr>
          <w:p w:rsidR="00B73C97" w:rsidRPr="00B73C97" w:rsidRDefault="00B73C97" w:rsidP="0018133B">
            <w:pPr>
              <w:cnfStyle w:val="000000000000"/>
              <w:rPr>
                <w:rFonts w:ascii="Arial" w:eastAsia="Times New Roman" w:hAnsi="Arial" w:cs="Arial"/>
                <w:color w:val="000000"/>
                <w:sz w:val="17"/>
                <w:szCs w:val="17"/>
                <w:lang w:eastAsia="en-ZA"/>
              </w:rPr>
            </w:pPr>
          </w:p>
        </w:tc>
      </w:tr>
      <w:tr w:rsidR="00B73C97" w:rsidRPr="00B73C97" w:rsidTr="0018133B">
        <w:trPr>
          <w:cnfStyle w:val="000000100000"/>
          <w:jc w:val="center"/>
        </w:trPr>
        <w:tc>
          <w:tcPr>
            <w:cnfStyle w:val="001000000000"/>
            <w:tcW w:w="0" w:type="auto"/>
            <w:vAlign w:val="center"/>
            <w:hideMark/>
          </w:tcPr>
          <w:p w:rsidR="00B73C97" w:rsidRPr="00B73C97" w:rsidRDefault="00B73C97" w:rsidP="0018133B">
            <w:pPr>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Madagascar (30 days)</w:t>
            </w:r>
          </w:p>
        </w:tc>
        <w:tc>
          <w:tcPr>
            <w:tcW w:w="0" w:type="auto"/>
            <w:vAlign w:val="center"/>
            <w:hideMark/>
          </w:tcPr>
          <w:p w:rsidR="00B73C97" w:rsidRPr="00B73C97" w:rsidRDefault="00B73C97" w:rsidP="0018133B">
            <w:pPr>
              <w:cnfStyle w:val="000000100000"/>
              <w:rPr>
                <w:rFonts w:ascii="Arial" w:eastAsia="Times New Roman" w:hAnsi="Arial" w:cs="Arial"/>
                <w:color w:val="000000"/>
                <w:sz w:val="17"/>
                <w:szCs w:val="17"/>
                <w:lang w:eastAsia="en-ZA"/>
              </w:rPr>
            </w:pPr>
          </w:p>
        </w:tc>
      </w:tr>
    </w:tbl>
    <w:p w:rsidR="00B73C97" w:rsidRPr="00B73C97" w:rsidRDefault="00B73C97" w:rsidP="00B73C97">
      <w:pPr>
        <w:spacing w:before="100" w:beforeAutospacing="1" w:after="100" w:afterAutospacing="1" w:line="240" w:lineRule="auto"/>
        <w:rPr>
          <w:rFonts w:ascii="Arial" w:eastAsia="Times New Roman" w:hAnsi="Arial" w:cs="Arial"/>
          <w:b/>
          <w:bCs/>
          <w:color w:val="000000"/>
          <w:sz w:val="18"/>
          <w:szCs w:val="18"/>
          <w:lang w:eastAsia="en-ZA"/>
        </w:rPr>
      </w:pPr>
      <w:r w:rsidRPr="00B73C97">
        <w:rPr>
          <w:rFonts w:ascii="Arial" w:eastAsia="Times New Roman" w:hAnsi="Arial" w:cs="Arial"/>
          <w:b/>
          <w:bCs/>
          <w:color w:val="000000"/>
          <w:sz w:val="18"/>
          <w:szCs w:val="18"/>
          <w:lang w:eastAsia="en-ZA"/>
        </w:rPr>
        <w:t> </w:t>
      </w:r>
    </w:p>
    <w:p w:rsidR="00B73C97" w:rsidRPr="00B73C97" w:rsidRDefault="00B73C97" w:rsidP="00B73C97">
      <w:pPr>
        <w:spacing w:before="100" w:beforeAutospacing="1" w:after="100" w:afterAutospacing="1" w:line="240" w:lineRule="auto"/>
        <w:rPr>
          <w:rFonts w:ascii="Arial" w:eastAsia="Times New Roman" w:hAnsi="Arial" w:cs="Arial"/>
          <w:color w:val="000000"/>
          <w:sz w:val="17"/>
          <w:szCs w:val="17"/>
          <w:lang w:eastAsia="en-ZA"/>
        </w:rPr>
      </w:pPr>
      <w:bookmarkStart w:id="3" w:name="ce5"/>
      <w:bookmarkEnd w:id="3"/>
      <w:r w:rsidRPr="00B73C97">
        <w:rPr>
          <w:rFonts w:ascii="Arial" w:eastAsia="Times New Roman" w:hAnsi="Arial" w:cs="Arial"/>
          <w:b/>
          <w:bCs/>
          <w:color w:val="000000"/>
          <w:sz w:val="17"/>
          <w:lang w:eastAsia="en-ZA"/>
        </w:rPr>
        <w:t>General Visa exemptions</w:t>
      </w:r>
    </w:p>
    <w:p w:rsidR="00B73C97" w:rsidRPr="00B73C97" w:rsidRDefault="00B73C97" w:rsidP="00B73C97">
      <w:pPr>
        <w:numPr>
          <w:ilvl w:val="0"/>
          <w:numId w:val="3"/>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b/>
          <w:bCs/>
          <w:color w:val="000000"/>
          <w:sz w:val="17"/>
          <w:lang w:eastAsia="en-ZA"/>
        </w:rPr>
        <w:t>Commercial heavy-duty vehicle drivers who</w:t>
      </w:r>
      <w:r w:rsidRPr="00B73C97">
        <w:rPr>
          <w:rFonts w:ascii="Arial" w:eastAsia="Times New Roman" w:hAnsi="Arial" w:cs="Arial"/>
          <w:color w:val="000000"/>
          <w:sz w:val="17"/>
          <w:szCs w:val="17"/>
          <w:lang w:eastAsia="en-ZA"/>
        </w:rPr>
        <w:t xml:space="preserve"> </w:t>
      </w:r>
    </w:p>
    <w:p w:rsidR="00B73C97" w:rsidRPr="00B73C97" w:rsidRDefault="00B73C97" w:rsidP="00B73C97">
      <w:pPr>
        <w:numPr>
          <w:ilvl w:val="1"/>
          <w:numId w:val="3"/>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enter the country from Swaziland, Botswana, Namibia, Zambia and Malawi </w:t>
      </w:r>
    </w:p>
    <w:p w:rsidR="00B73C97" w:rsidRPr="00B73C97" w:rsidRDefault="00B73C97" w:rsidP="00B73C97">
      <w:pPr>
        <w:numPr>
          <w:ilvl w:val="1"/>
          <w:numId w:val="3"/>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provided that their visits do not exceed 15 days </w:t>
      </w:r>
    </w:p>
    <w:p w:rsidR="00B73C97" w:rsidRPr="00B73C97" w:rsidRDefault="00B73C97" w:rsidP="00B73C97">
      <w:pPr>
        <w:numPr>
          <w:ilvl w:val="1"/>
          <w:numId w:val="3"/>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and on condition they produce a letter confirming their employment with a transport company or entity </w:t>
      </w:r>
    </w:p>
    <w:p w:rsidR="00B73C97" w:rsidRPr="00B73C97" w:rsidRDefault="00B73C97" w:rsidP="00B73C97">
      <w:pPr>
        <w:spacing w:beforeAutospacing="1" w:after="100" w:afterAutospacing="1" w:line="240" w:lineRule="auto"/>
        <w:ind w:left="144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The same principle applies to Zimbabwean commercial heavy-duty truck drivers, except that their sojourn may not exceed 30 days at a time.  The afore-mentioned does not apply to commercial heavy-duty truck drivers who transport goods for a South African transport company.  Such drivers must be in possession of a valid work permit.</w:t>
      </w:r>
    </w:p>
    <w:p w:rsidR="00B73C97" w:rsidRPr="00B73C97" w:rsidRDefault="00B73C97" w:rsidP="00B73C97">
      <w:pPr>
        <w:numPr>
          <w:ilvl w:val="0"/>
          <w:numId w:val="3"/>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b/>
          <w:bCs/>
          <w:color w:val="000000"/>
          <w:sz w:val="17"/>
          <w:lang w:eastAsia="en-ZA"/>
        </w:rPr>
        <w:lastRenderedPageBreak/>
        <w:t>Staff members of the Southern African Development Community (SADC)</w:t>
      </w:r>
      <w:r w:rsidRPr="00B73C97">
        <w:rPr>
          <w:rFonts w:ascii="Arial" w:eastAsia="Times New Roman" w:hAnsi="Arial" w:cs="Arial"/>
          <w:color w:val="000000"/>
          <w:sz w:val="17"/>
          <w:szCs w:val="17"/>
          <w:lang w:eastAsia="en-ZA"/>
        </w:rPr>
        <w:t xml:space="preserve"> who </w:t>
      </w:r>
    </w:p>
    <w:p w:rsidR="00B73C97" w:rsidRPr="00B73C97" w:rsidRDefault="00B73C97" w:rsidP="00B73C97">
      <w:pPr>
        <w:numPr>
          <w:ilvl w:val="1"/>
          <w:numId w:val="4"/>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travel on SADC laissez-passers </w:t>
      </w:r>
    </w:p>
    <w:p w:rsidR="00B73C97" w:rsidRPr="00B73C97" w:rsidRDefault="00B73C97" w:rsidP="00B73C97">
      <w:pPr>
        <w:numPr>
          <w:ilvl w:val="1"/>
          <w:numId w:val="4"/>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travel on bona fide official business </w:t>
      </w:r>
    </w:p>
    <w:p w:rsidR="00B73C97" w:rsidRPr="00B73C97" w:rsidRDefault="00B73C97" w:rsidP="00B73C97">
      <w:pPr>
        <w:numPr>
          <w:ilvl w:val="1"/>
          <w:numId w:val="4"/>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and stay for 90 days or less, or are in transit </w:t>
      </w:r>
    </w:p>
    <w:p w:rsidR="00B73C97" w:rsidRPr="00B73C97" w:rsidRDefault="00B73C97" w:rsidP="00B73C97">
      <w:pPr>
        <w:spacing w:beforeAutospacing="1" w:after="100" w:afterAutospacing="1" w:line="240" w:lineRule="auto"/>
        <w:ind w:left="1440"/>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w:t>
      </w:r>
    </w:p>
    <w:p w:rsidR="00B73C97" w:rsidRPr="00B73C97" w:rsidRDefault="00B73C97" w:rsidP="00B73C97">
      <w:pPr>
        <w:numPr>
          <w:ilvl w:val="0"/>
          <w:numId w:val="4"/>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b/>
          <w:bCs/>
          <w:color w:val="000000"/>
          <w:sz w:val="17"/>
          <w:lang w:eastAsia="en-ZA"/>
        </w:rPr>
        <w:t>Holders of UN laissez- passers</w:t>
      </w:r>
      <w:r w:rsidRPr="00B73C97">
        <w:rPr>
          <w:rFonts w:ascii="Arial" w:eastAsia="Times New Roman" w:hAnsi="Arial" w:cs="Arial"/>
          <w:color w:val="000000"/>
          <w:sz w:val="17"/>
          <w:szCs w:val="17"/>
          <w:lang w:eastAsia="en-ZA"/>
        </w:rPr>
        <w:t xml:space="preserve"> who </w:t>
      </w:r>
    </w:p>
    <w:p w:rsidR="00B73C97" w:rsidRPr="00B73C97" w:rsidRDefault="00B73C97" w:rsidP="00B73C97">
      <w:pPr>
        <w:numPr>
          <w:ilvl w:val="1"/>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intend to visit South Africa for 90 days or less </w:t>
      </w:r>
    </w:p>
    <w:p w:rsidR="00B73C97" w:rsidRPr="00B73C97" w:rsidRDefault="00B73C97" w:rsidP="00B73C97">
      <w:pPr>
        <w:numPr>
          <w:ilvl w:val="1"/>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visit the country for official business purposes </w:t>
      </w:r>
    </w:p>
    <w:p w:rsidR="00B73C97" w:rsidRPr="00B73C97" w:rsidRDefault="00B73C97" w:rsidP="00B73C97">
      <w:pPr>
        <w:numPr>
          <w:ilvl w:val="1"/>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are in transit </w:t>
      </w:r>
    </w:p>
    <w:p w:rsidR="00B73C97" w:rsidRPr="00B73C97" w:rsidRDefault="00B73C97" w:rsidP="00B73C97">
      <w:pPr>
        <w:numPr>
          <w:ilvl w:val="1"/>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are accredited for placement at a UN mission in South Africa for the duration of their accreditation </w:t>
      </w:r>
    </w:p>
    <w:p w:rsidR="00B73C97" w:rsidRPr="00B73C97" w:rsidRDefault="00B73C97" w:rsidP="00B73C97">
      <w:pPr>
        <w:numPr>
          <w:ilvl w:val="1"/>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are volunteers attached to UN agencies and travelling on ordinary passports, provided they are in possession of relevant letters or identification documents to identify themselves at ports of entry as personnel of an UN agency. </w:t>
      </w:r>
    </w:p>
    <w:p w:rsidR="00B73C97" w:rsidRPr="00B73C97" w:rsidRDefault="00B73C97" w:rsidP="00B73C97">
      <w:pPr>
        <w:numPr>
          <w:ilvl w:val="2"/>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Holders of United Nations Laissez-passers </w:t>
      </w:r>
    </w:p>
    <w:p w:rsidR="00B73C97" w:rsidRPr="00B73C97" w:rsidRDefault="00B73C97" w:rsidP="00B73C97">
      <w:pPr>
        <w:numPr>
          <w:ilvl w:val="2"/>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Volunteers attached to the UN </w:t>
      </w:r>
    </w:p>
    <w:p w:rsidR="00B73C97" w:rsidRPr="00B73C97" w:rsidRDefault="00B73C97" w:rsidP="00B73C97">
      <w:pPr>
        <w:numPr>
          <w:ilvl w:val="2"/>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Persons involved in any United Nations agency </w:t>
      </w:r>
    </w:p>
    <w:p w:rsidR="00B73C97" w:rsidRPr="00B73C97" w:rsidRDefault="00B73C97" w:rsidP="00B73C97">
      <w:pPr>
        <w:numPr>
          <w:ilvl w:val="2"/>
          <w:numId w:val="5"/>
        </w:num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 xml:space="preserve">Persons performing services on behalf of the UN </w:t>
      </w:r>
    </w:p>
    <w:p w:rsidR="00B73C97" w:rsidRPr="00B73C97" w:rsidRDefault="00B73C97" w:rsidP="00B73C97">
      <w:pPr>
        <w:spacing w:before="100" w:beforeAutospacing="1" w:after="100" w:afterAutospacing="1" w:line="240" w:lineRule="auto"/>
        <w:rPr>
          <w:rFonts w:ascii="Arial" w:eastAsia="Times New Roman" w:hAnsi="Arial" w:cs="Arial"/>
          <w:color w:val="000000"/>
          <w:sz w:val="17"/>
          <w:szCs w:val="17"/>
          <w:lang w:eastAsia="en-ZA"/>
        </w:rPr>
      </w:pPr>
      <w:r w:rsidRPr="00B73C97">
        <w:rPr>
          <w:rFonts w:ascii="Arial" w:eastAsia="Times New Roman" w:hAnsi="Arial" w:cs="Arial"/>
          <w:color w:val="000000"/>
          <w:sz w:val="17"/>
          <w:szCs w:val="17"/>
          <w:lang w:eastAsia="en-ZA"/>
        </w:rPr>
        <w:t>Members of military forces attending any military related matters with the South African National Defence Force are exempt from visa and study permit requirements, irrespective of their duration of stay provided they are in possession of letters of invitation from SANDF as well as letters of consent from the military force of which they are members</w:t>
      </w:r>
    </w:p>
    <w:p w:rsidR="00B73C97" w:rsidRPr="00B73C97" w:rsidRDefault="00B73C97" w:rsidP="00B73C97">
      <w:pPr>
        <w:spacing w:before="100" w:beforeAutospacing="1" w:after="100" w:afterAutospacing="1" w:line="240" w:lineRule="auto"/>
        <w:rPr>
          <w:rFonts w:ascii="Arial" w:eastAsia="Times New Roman" w:hAnsi="Arial" w:cs="Arial"/>
          <w:b/>
          <w:bCs/>
          <w:color w:val="000000"/>
          <w:sz w:val="18"/>
          <w:szCs w:val="18"/>
          <w:lang w:eastAsia="en-ZA"/>
        </w:rPr>
      </w:pPr>
      <w:r w:rsidRPr="00B73C97">
        <w:rPr>
          <w:rFonts w:ascii="Arial" w:eastAsia="Times New Roman" w:hAnsi="Arial" w:cs="Arial"/>
          <w:b/>
          <w:bCs/>
          <w:color w:val="000000"/>
          <w:sz w:val="18"/>
          <w:szCs w:val="18"/>
          <w:lang w:eastAsia="en-ZA"/>
        </w:rPr>
        <w:t> </w:t>
      </w:r>
    </w:p>
    <w:p w:rsidR="00FE2FD6" w:rsidRDefault="00FE2FD6"/>
    <w:sectPr w:rsidR="00FE2FD6" w:rsidSect="00FE2F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32B4"/>
    <w:multiLevelType w:val="multilevel"/>
    <w:tmpl w:val="B8E25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96608"/>
    <w:multiLevelType w:val="multilevel"/>
    <w:tmpl w:val="7730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2E1CE7"/>
    <w:multiLevelType w:val="multilevel"/>
    <w:tmpl w:val="107A7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72936"/>
    <w:multiLevelType w:val="multilevel"/>
    <w:tmpl w:val="4DE4A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EC5F2E"/>
    <w:multiLevelType w:val="multilevel"/>
    <w:tmpl w:val="6D9E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B73C97"/>
    <w:rsid w:val="0018133B"/>
    <w:rsid w:val="00411666"/>
    <w:rsid w:val="009561C0"/>
    <w:rsid w:val="00A66113"/>
    <w:rsid w:val="00B73C97"/>
    <w:rsid w:val="00C037F4"/>
    <w:rsid w:val="00CD4B94"/>
    <w:rsid w:val="00F53433"/>
    <w:rsid w:val="00FE2FD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2">
    <w:name w:val="style92"/>
    <w:basedOn w:val="Normal"/>
    <w:rsid w:val="00B73C97"/>
    <w:pPr>
      <w:spacing w:before="100" w:beforeAutospacing="1" w:after="100" w:afterAutospacing="1" w:line="240" w:lineRule="auto"/>
    </w:pPr>
    <w:rPr>
      <w:rFonts w:ascii="Times New Roman" w:eastAsia="Times New Roman" w:hAnsi="Times New Roman" w:cs="Times New Roman"/>
      <w:b/>
      <w:bCs/>
      <w:color w:val="000000"/>
      <w:sz w:val="18"/>
      <w:szCs w:val="18"/>
      <w:lang w:eastAsia="en-ZA"/>
    </w:rPr>
  </w:style>
  <w:style w:type="character" w:styleId="Strong">
    <w:name w:val="Strong"/>
    <w:basedOn w:val="DefaultParagraphFont"/>
    <w:uiPriority w:val="22"/>
    <w:qFormat/>
    <w:rsid w:val="00B73C97"/>
    <w:rPr>
      <w:b/>
      <w:bCs/>
    </w:rPr>
  </w:style>
  <w:style w:type="character" w:customStyle="1" w:styleId="style41">
    <w:name w:val="style41"/>
    <w:basedOn w:val="DefaultParagraphFont"/>
    <w:rsid w:val="00B73C97"/>
    <w:rPr>
      <w:sz w:val="17"/>
      <w:szCs w:val="17"/>
    </w:rPr>
  </w:style>
  <w:style w:type="paragraph" w:styleId="NormalWeb">
    <w:name w:val="Normal (Web)"/>
    <w:basedOn w:val="Normal"/>
    <w:uiPriority w:val="99"/>
    <w:unhideWhenUsed/>
    <w:rsid w:val="00B73C97"/>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table" w:styleId="LightShading-Accent5">
    <w:name w:val="Light Shading Accent 5"/>
    <w:basedOn w:val="TableNormal"/>
    <w:uiPriority w:val="60"/>
    <w:rsid w:val="0018133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1795948781">
      <w:bodyDiv w:val="1"/>
      <w:marLeft w:val="0"/>
      <w:marRight w:val="0"/>
      <w:marTop w:val="0"/>
      <w:marBottom w:val="0"/>
      <w:divBdr>
        <w:top w:val="none" w:sz="0" w:space="0" w:color="auto"/>
        <w:left w:val="none" w:sz="0" w:space="0" w:color="auto"/>
        <w:bottom w:val="none" w:sz="0" w:space="0" w:color="auto"/>
        <w:right w:val="none" w:sz="0" w:space="0" w:color="auto"/>
      </w:divBdr>
      <w:divsChild>
        <w:div w:id="43267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28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4530</Characters>
  <Application>Microsoft Office Word</Application>
  <DocSecurity>0</DocSecurity>
  <Lines>37</Lines>
  <Paragraphs>10</Paragraphs>
  <ScaleCrop>false</ScaleCrop>
  <Company>HP</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Marx</dc:creator>
  <cp:lastModifiedBy>cmps073</cp:lastModifiedBy>
  <cp:revision>2</cp:revision>
  <dcterms:created xsi:type="dcterms:W3CDTF">2011-07-21T09:14:00Z</dcterms:created>
  <dcterms:modified xsi:type="dcterms:W3CDTF">2011-07-21T09:14:00Z</dcterms:modified>
</cp:coreProperties>
</file>