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87" w:rsidRPr="006D497A" w:rsidRDefault="00CC4E96" w:rsidP="00CC4E96">
      <w:pPr>
        <w:spacing w:after="0"/>
        <w:jc w:val="center"/>
        <w:rPr>
          <w:b/>
          <w:color w:val="000000"/>
          <w:sz w:val="28"/>
          <w:szCs w:val="28"/>
        </w:rPr>
      </w:pPr>
      <w:bookmarkStart w:id="0" w:name="_GoBack"/>
      <w:bookmarkEnd w:id="0"/>
      <w:r w:rsidRPr="006D497A">
        <w:rPr>
          <w:b/>
          <w:color w:val="000000"/>
          <w:sz w:val="28"/>
          <w:szCs w:val="28"/>
        </w:rPr>
        <w:t>R</w:t>
      </w:r>
      <w:r w:rsidR="004A3387" w:rsidRPr="006D497A">
        <w:rPr>
          <w:b/>
          <w:color w:val="000000"/>
          <w:sz w:val="28"/>
          <w:szCs w:val="28"/>
        </w:rPr>
        <w:t>HODES UNIVERSITY</w:t>
      </w:r>
      <w:r w:rsidR="008500C4">
        <w:rPr>
          <w:b/>
          <w:color w:val="000000"/>
          <w:sz w:val="28"/>
          <w:szCs w:val="28"/>
        </w:rPr>
        <w:t xml:space="preserve">: </w:t>
      </w:r>
      <w:r w:rsidR="004A3387" w:rsidRPr="006D497A">
        <w:rPr>
          <w:b/>
          <w:color w:val="000000"/>
          <w:sz w:val="28"/>
          <w:szCs w:val="28"/>
        </w:rPr>
        <w:t xml:space="preserve">CIRCULAR </w:t>
      </w:r>
      <w:r w:rsidR="002A2097">
        <w:rPr>
          <w:b/>
          <w:color w:val="000000"/>
          <w:sz w:val="28"/>
          <w:szCs w:val="28"/>
        </w:rPr>
        <w:t>4/2013</w:t>
      </w:r>
    </w:p>
    <w:p w:rsidR="00B06F56" w:rsidRDefault="004A3387" w:rsidP="00CC4E96">
      <w:pPr>
        <w:spacing w:after="0"/>
        <w:rPr>
          <w:rFonts w:cs="Calibri"/>
          <w:sz w:val="20"/>
          <w:szCs w:val="20"/>
        </w:rPr>
      </w:pPr>
      <w:r w:rsidRPr="0081476C">
        <w:rPr>
          <w:color w:val="000000"/>
          <w:sz w:val="20"/>
          <w:szCs w:val="20"/>
        </w:rPr>
        <w:t>This serves to advise you that that salary negotiations between NTEU and NEHAWU and the University’s representatives have been finalised</w:t>
      </w:r>
      <w:r w:rsidR="00B06F56" w:rsidRPr="0081476C">
        <w:rPr>
          <w:color w:val="000000"/>
          <w:sz w:val="20"/>
          <w:szCs w:val="20"/>
        </w:rPr>
        <w:t xml:space="preserve"> for 2013</w:t>
      </w:r>
      <w:r w:rsidRPr="0081476C">
        <w:rPr>
          <w:color w:val="000000"/>
          <w:sz w:val="20"/>
          <w:szCs w:val="20"/>
        </w:rPr>
        <w:t xml:space="preserve">. </w:t>
      </w:r>
      <w:r w:rsidR="000A4DD6" w:rsidRPr="0081476C">
        <w:rPr>
          <w:color w:val="000000"/>
          <w:sz w:val="20"/>
          <w:szCs w:val="20"/>
        </w:rPr>
        <w:t xml:space="preserve"> </w:t>
      </w:r>
      <w:r w:rsidR="00B06F56" w:rsidRPr="0081476C">
        <w:rPr>
          <w:rFonts w:cs="Calibri"/>
          <w:sz w:val="20"/>
          <w:szCs w:val="20"/>
        </w:rPr>
        <w:t>The substantive agreement</w:t>
      </w:r>
      <w:r w:rsidR="0081476C">
        <w:rPr>
          <w:rFonts w:cs="Calibri"/>
          <w:sz w:val="20"/>
          <w:szCs w:val="20"/>
        </w:rPr>
        <w:t>s</w:t>
      </w:r>
      <w:r w:rsidR="00B06F56" w:rsidRPr="0081476C">
        <w:rPr>
          <w:rFonts w:cs="Calibri"/>
          <w:sz w:val="20"/>
          <w:szCs w:val="20"/>
        </w:rPr>
        <w:t xml:space="preserve"> for the period 1 January</w:t>
      </w:r>
      <w:r w:rsidR="0081476C">
        <w:rPr>
          <w:rFonts w:cs="Calibri"/>
          <w:sz w:val="20"/>
          <w:szCs w:val="20"/>
        </w:rPr>
        <w:t xml:space="preserve"> 2013 to 31 December 2013 </w:t>
      </w:r>
      <w:r w:rsidR="009D0EAB">
        <w:rPr>
          <w:rFonts w:cs="Calibri"/>
          <w:sz w:val="20"/>
          <w:szCs w:val="20"/>
        </w:rPr>
        <w:t xml:space="preserve">for permanent, Council funded posts </w:t>
      </w:r>
      <w:r w:rsidR="0081476C">
        <w:rPr>
          <w:rFonts w:cs="Calibri"/>
          <w:sz w:val="20"/>
          <w:szCs w:val="20"/>
        </w:rPr>
        <w:t>are</w:t>
      </w:r>
      <w:r w:rsidR="00B06F56" w:rsidRPr="0081476C">
        <w:rPr>
          <w:rFonts w:cs="Calibri"/>
          <w:sz w:val="20"/>
          <w:szCs w:val="20"/>
        </w:rPr>
        <w:t xml:space="preserve"> as follows:</w:t>
      </w:r>
    </w:p>
    <w:p w:rsidR="0081476C" w:rsidRPr="0081476C" w:rsidRDefault="0081476C" w:rsidP="00CC4E96">
      <w:pPr>
        <w:spacing w:after="0"/>
        <w:rPr>
          <w:rFonts w:cs="Calibri"/>
          <w:sz w:val="16"/>
          <w:szCs w:val="16"/>
        </w:rPr>
      </w:pPr>
    </w:p>
    <w:p w:rsidR="006E2E1B" w:rsidRPr="008500C4" w:rsidRDefault="006E2E1B" w:rsidP="00CC4E96">
      <w:pPr>
        <w:spacing w:after="0"/>
        <w:rPr>
          <w:rFonts w:cs="Calibri"/>
          <w:sz w:val="20"/>
          <w:szCs w:val="20"/>
        </w:rPr>
      </w:pPr>
      <w:r w:rsidRPr="008500C4">
        <w:rPr>
          <w:rFonts w:cs="Calibri"/>
          <w:sz w:val="20"/>
          <w:szCs w:val="20"/>
        </w:rPr>
        <w:t>1</w:t>
      </w:r>
      <w:r w:rsidRPr="008500C4">
        <w:rPr>
          <w:rFonts w:cs="Calibri"/>
          <w:i/>
          <w:sz w:val="20"/>
          <w:szCs w:val="20"/>
        </w:rPr>
        <w:t>. A rand value based remuneration adjustment wi</w:t>
      </w:r>
      <w:r w:rsidR="0081476C" w:rsidRPr="008500C4">
        <w:rPr>
          <w:rFonts w:cs="Calibri"/>
          <w:i/>
          <w:sz w:val="20"/>
          <w:szCs w:val="20"/>
        </w:rPr>
        <w:t>ll take place as outlined below.</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3686"/>
        <w:gridCol w:w="5493"/>
      </w:tblGrid>
      <w:tr w:rsidR="00241482" w:rsidRPr="0081476C" w:rsidTr="00241482">
        <w:tc>
          <w:tcPr>
            <w:tcW w:w="11022" w:type="dxa"/>
            <w:gridSpan w:val="4"/>
            <w:shd w:val="clear" w:color="auto" w:fill="auto"/>
          </w:tcPr>
          <w:p w:rsidR="00241482" w:rsidRPr="0081476C" w:rsidRDefault="009D0EAB" w:rsidP="002A2097">
            <w:pPr>
              <w:pStyle w:val="ListParagraph"/>
              <w:spacing w:after="0"/>
              <w:ind w:left="0"/>
              <w:jc w:val="center"/>
              <w:rPr>
                <w:rFonts w:asciiTheme="minorHAnsi" w:hAnsiTheme="minorHAnsi"/>
                <w:b/>
                <w:sz w:val="20"/>
                <w:szCs w:val="20"/>
              </w:rPr>
            </w:pPr>
            <w:r>
              <w:rPr>
                <w:rFonts w:asciiTheme="minorHAnsi" w:hAnsiTheme="minorHAnsi"/>
                <w:b/>
                <w:sz w:val="20"/>
                <w:szCs w:val="20"/>
              </w:rPr>
              <w:t xml:space="preserve">Staff </w:t>
            </w:r>
            <w:r w:rsidR="00241482" w:rsidRPr="0081476C">
              <w:rPr>
                <w:rFonts w:asciiTheme="minorHAnsi" w:hAnsiTheme="minorHAnsi"/>
                <w:b/>
                <w:sz w:val="20"/>
                <w:szCs w:val="20"/>
              </w:rPr>
              <w:t>on grades 1 to 5 are on a provident fund</w:t>
            </w:r>
          </w:p>
        </w:tc>
      </w:tr>
      <w:tr w:rsidR="00241482" w:rsidRPr="0081476C" w:rsidTr="00241482">
        <w:trPr>
          <w:trHeight w:val="234"/>
        </w:trPr>
        <w:tc>
          <w:tcPr>
            <w:tcW w:w="851" w:type="dxa"/>
            <w:shd w:val="clear" w:color="auto" w:fill="auto"/>
          </w:tcPr>
          <w:p w:rsidR="00241482" w:rsidRPr="0081476C" w:rsidRDefault="00241482" w:rsidP="00D55EC7">
            <w:pPr>
              <w:pStyle w:val="ListParagraph"/>
              <w:ind w:left="0"/>
              <w:rPr>
                <w:rFonts w:asciiTheme="minorHAnsi" w:hAnsiTheme="minorHAnsi"/>
                <w:b/>
                <w:sz w:val="20"/>
                <w:szCs w:val="20"/>
              </w:rPr>
            </w:pPr>
            <w:r w:rsidRPr="0081476C">
              <w:rPr>
                <w:rFonts w:asciiTheme="minorHAnsi" w:hAnsiTheme="minorHAnsi"/>
                <w:b/>
                <w:sz w:val="20"/>
                <w:szCs w:val="20"/>
              </w:rPr>
              <w:t>Grades</w:t>
            </w:r>
          </w:p>
        </w:tc>
        <w:tc>
          <w:tcPr>
            <w:tcW w:w="10171" w:type="dxa"/>
            <w:gridSpan w:val="3"/>
            <w:shd w:val="clear" w:color="auto" w:fill="auto"/>
          </w:tcPr>
          <w:p w:rsidR="00241482" w:rsidRPr="0081476C" w:rsidRDefault="00241482" w:rsidP="00241482">
            <w:pPr>
              <w:pStyle w:val="ListParagraph"/>
              <w:spacing w:after="0"/>
              <w:ind w:left="0"/>
              <w:jc w:val="center"/>
              <w:rPr>
                <w:rFonts w:asciiTheme="minorHAnsi" w:hAnsiTheme="minorHAnsi"/>
                <w:b/>
                <w:sz w:val="20"/>
                <w:szCs w:val="20"/>
              </w:rPr>
            </w:pPr>
            <w:r w:rsidRPr="0081476C">
              <w:rPr>
                <w:rFonts w:asciiTheme="minorHAnsi" w:hAnsiTheme="minorHAnsi"/>
                <w:b/>
                <w:sz w:val="20"/>
                <w:szCs w:val="20"/>
              </w:rPr>
              <w:t>Rand value, INCREASE PER MONTH on basic salary, to apply to all individuals on that grade</w:t>
            </w:r>
          </w:p>
        </w:tc>
      </w:tr>
      <w:tr w:rsidR="00241482" w:rsidRPr="0081476C" w:rsidTr="00241482">
        <w:tc>
          <w:tcPr>
            <w:tcW w:w="851" w:type="dxa"/>
            <w:shd w:val="clear" w:color="auto" w:fill="auto"/>
          </w:tcPr>
          <w:p w:rsidR="00241482" w:rsidRPr="0081476C" w:rsidRDefault="00241482" w:rsidP="00B61804">
            <w:pPr>
              <w:pStyle w:val="ListParagraph"/>
              <w:spacing w:after="0"/>
              <w:ind w:left="0"/>
              <w:rPr>
                <w:rFonts w:asciiTheme="minorHAnsi" w:hAnsiTheme="minorHAnsi"/>
                <w:sz w:val="20"/>
                <w:szCs w:val="20"/>
              </w:rPr>
            </w:pPr>
            <w:r w:rsidRPr="0081476C">
              <w:rPr>
                <w:rFonts w:asciiTheme="minorHAnsi" w:hAnsiTheme="minorHAnsi"/>
                <w:sz w:val="20"/>
                <w:szCs w:val="20"/>
              </w:rPr>
              <w:t>1</w:t>
            </w:r>
          </w:p>
        </w:tc>
        <w:tc>
          <w:tcPr>
            <w:tcW w:w="10171" w:type="dxa"/>
            <w:gridSpan w:val="3"/>
            <w:shd w:val="clear" w:color="auto" w:fill="auto"/>
            <w:vAlign w:val="bottom"/>
          </w:tcPr>
          <w:p w:rsidR="00241482" w:rsidRPr="0081476C" w:rsidRDefault="00241482" w:rsidP="00B61804">
            <w:pPr>
              <w:spacing w:after="0"/>
              <w:jc w:val="right"/>
              <w:rPr>
                <w:rFonts w:asciiTheme="minorHAnsi" w:hAnsiTheme="minorHAnsi" w:cs="Calibri"/>
                <w:color w:val="000000"/>
                <w:sz w:val="20"/>
                <w:szCs w:val="20"/>
              </w:rPr>
            </w:pPr>
            <w:r w:rsidRPr="0081476C">
              <w:rPr>
                <w:rFonts w:asciiTheme="minorHAnsi" w:hAnsiTheme="minorHAnsi" w:cs="Calibri"/>
                <w:color w:val="000000"/>
                <w:sz w:val="20"/>
                <w:szCs w:val="20"/>
              </w:rPr>
              <w:t>R430</w:t>
            </w:r>
          </w:p>
        </w:tc>
      </w:tr>
      <w:tr w:rsidR="00241482" w:rsidRPr="0081476C" w:rsidTr="00241482">
        <w:tc>
          <w:tcPr>
            <w:tcW w:w="851" w:type="dxa"/>
            <w:shd w:val="clear" w:color="auto" w:fill="auto"/>
          </w:tcPr>
          <w:p w:rsidR="00241482" w:rsidRPr="0081476C" w:rsidRDefault="00241482" w:rsidP="00B61804">
            <w:pPr>
              <w:pStyle w:val="ListParagraph"/>
              <w:spacing w:after="0"/>
              <w:ind w:left="0"/>
              <w:rPr>
                <w:rFonts w:asciiTheme="minorHAnsi" w:hAnsiTheme="minorHAnsi"/>
                <w:sz w:val="20"/>
                <w:szCs w:val="20"/>
              </w:rPr>
            </w:pPr>
            <w:r w:rsidRPr="0081476C">
              <w:rPr>
                <w:rFonts w:asciiTheme="minorHAnsi" w:hAnsiTheme="minorHAnsi"/>
                <w:sz w:val="20"/>
                <w:szCs w:val="20"/>
              </w:rPr>
              <w:t>2</w:t>
            </w:r>
          </w:p>
        </w:tc>
        <w:tc>
          <w:tcPr>
            <w:tcW w:w="10171" w:type="dxa"/>
            <w:gridSpan w:val="3"/>
            <w:shd w:val="clear" w:color="auto" w:fill="auto"/>
            <w:vAlign w:val="bottom"/>
          </w:tcPr>
          <w:p w:rsidR="00241482" w:rsidRPr="0081476C" w:rsidRDefault="00241482" w:rsidP="00B61804">
            <w:pPr>
              <w:spacing w:after="0"/>
              <w:jc w:val="right"/>
              <w:rPr>
                <w:rFonts w:asciiTheme="minorHAnsi" w:hAnsiTheme="minorHAnsi" w:cs="Calibri"/>
                <w:color w:val="000000"/>
                <w:sz w:val="20"/>
                <w:szCs w:val="20"/>
              </w:rPr>
            </w:pPr>
            <w:r w:rsidRPr="0081476C">
              <w:rPr>
                <w:rFonts w:asciiTheme="minorHAnsi" w:hAnsiTheme="minorHAnsi" w:cs="Calibri"/>
                <w:color w:val="000000"/>
                <w:sz w:val="20"/>
                <w:szCs w:val="20"/>
              </w:rPr>
              <w:t>R446</w:t>
            </w:r>
          </w:p>
        </w:tc>
      </w:tr>
      <w:tr w:rsidR="00241482" w:rsidRPr="0081476C" w:rsidTr="00241482">
        <w:tc>
          <w:tcPr>
            <w:tcW w:w="851" w:type="dxa"/>
            <w:shd w:val="clear" w:color="auto" w:fill="auto"/>
          </w:tcPr>
          <w:p w:rsidR="00241482" w:rsidRPr="0081476C" w:rsidRDefault="00241482" w:rsidP="00B61804">
            <w:pPr>
              <w:pStyle w:val="ListParagraph"/>
              <w:spacing w:after="0"/>
              <w:ind w:left="0"/>
              <w:rPr>
                <w:rFonts w:asciiTheme="minorHAnsi" w:hAnsiTheme="minorHAnsi"/>
                <w:sz w:val="20"/>
                <w:szCs w:val="20"/>
              </w:rPr>
            </w:pPr>
            <w:r w:rsidRPr="0081476C">
              <w:rPr>
                <w:rFonts w:asciiTheme="minorHAnsi" w:hAnsiTheme="minorHAnsi"/>
                <w:sz w:val="20"/>
                <w:szCs w:val="20"/>
              </w:rPr>
              <w:t>3</w:t>
            </w:r>
          </w:p>
        </w:tc>
        <w:tc>
          <w:tcPr>
            <w:tcW w:w="10171" w:type="dxa"/>
            <w:gridSpan w:val="3"/>
            <w:shd w:val="clear" w:color="auto" w:fill="auto"/>
            <w:vAlign w:val="bottom"/>
          </w:tcPr>
          <w:p w:rsidR="00241482" w:rsidRPr="0081476C" w:rsidRDefault="00241482" w:rsidP="00B61804">
            <w:pPr>
              <w:spacing w:after="0"/>
              <w:jc w:val="right"/>
              <w:rPr>
                <w:rFonts w:asciiTheme="minorHAnsi" w:hAnsiTheme="minorHAnsi" w:cs="Calibri"/>
                <w:color w:val="000000"/>
                <w:sz w:val="20"/>
                <w:szCs w:val="20"/>
              </w:rPr>
            </w:pPr>
            <w:r w:rsidRPr="0081476C">
              <w:rPr>
                <w:rFonts w:asciiTheme="minorHAnsi" w:hAnsiTheme="minorHAnsi" w:cs="Calibri"/>
                <w:color w:val="000000"/>
                <w:sz w:val="20"/>
                <w:szCs w:val="20"/>
              </w:rPr>
              <w:t>R475</w:t>
            </w:r>
          </w:p>
        </w:tc>
      </w:tr>
      <w:tr w:rsidR="00241482" w:rsidRPr="0081476C" w:rsidTr="00241482">
        <w:tc>
          <w:tcPr>
            <w:tcW w:w="851" w:type="dxa"/>
            <w:shd w:val="clear" w:color="auto" w:fill="auto"/>
          </w:tcPr>
          <w:p w:rsidR="00241482" w:rsidRPr="0081476C" w:rsidRDefault="00241482" w:rsidP="00B61804">
            <w:pPr>
              <w:pStyle w:val="ListParagraph"/>
              <w:spacing w:after="0"/>
              <w:ind w:left="0"/>
              <w:rPr>
                <w:rFonts w:asciiTheme="minorHAnsi" w:hAnsiTheme="minorHAnsi"/>
                <w:sz w:val="20"/>
                <w:szCs w:val="20"/>
              </w:rPr>
            </w:pPr>
            <w:r w:rsidRPr="0081476C">
              <w:rPr>
                <w:rFonts w:asciiTheme="minorHAnsi" w:hAnsiTheme="minorHAnsi"/>
                <w:sz w:val="20"/>
                <w:szCs w:val="20"/>
              </w:rPr>
              <w:t>4</w:t>
            </w:r>
          </w:p>
        </w:tc>
        <w:tc>
          <w:tcPr>
            <w:tcW w:w="10171" w:type="dxa"/>
            <w:gridSpan w:val="3"/>
            <w:shd w:val="clear" w:color="auto" w:fill="auto"/>
            <w:vAlign w:val="bottom"/>
          </w:tcPr>
          <w:p w:rsidR="00241482" w:rsidRPr="0081476C" w:rsidRDefault="00241482" w:rsidP="00241482">
            <w:pPr>
              <w:spacing w:after="0"/>
              <w:jc w:val="right"/>
              <w:rPr>
                <w:rFonts w:asciiTheme="minorHAnsi" w:hAnsiTheme="minorHAnsi" w:cs="Calibri"/>
                <w:color w:val="000000"/>
                <w:sz w:val="20"/>
                <w:szCs w:val="20"/>
              </w:rPr>
            </w:pPr>
            <w:r w:rsidRPr="0081476C">
              <w:rPr>
                <w:rFonts w:asciiTheme="minorHAnsi" w:hAnsiTheme="minorHAnsi" w:cs="Calibri"/>
                <w:color w:val="000000"/>
                <w:sz w:val="20"/>
                <w:szCs w:val="20"/>
              </w:rPr>
              <w:t>R548</w:t>
            </w:r>
          </w:p>
        </w:tc>
      </w:tr>
      <w:tr w:rsidR="00241482" w:rsidRPr="0081476C" w:rsidTr="00241482">
        <w:tc>
          <w:tcPr>
            <w:tcW w:w="851" w:type="dxa"/>
            <w:shd w:val="clear" w:color="auto" w:fill="auto"/>
          </w:tcPr>
          <w:p w:rsidR="00241482" w:rsidRPr="0081476C" w:rsidRDefault="00241482" w:rsidP="00B61804">
            <w:pPr>
              <w:pStyle w:val="ListParagraph"/>
              <w:spacing w:after="0"/>
              <w:ind w:left="0"/>
              <w:rPr>
                <w:rFonts w:asciiTheme="minorHAnsi" w:hAnsiTheme="minorHAnsi"/>
                <w:sz w:val="20"/>
                <w:szCs w:val="20"/>
              </w:rPr>
            </w:pPr>
            <w:r w:rsidRPr="0081476C">
              <w:rPr>
                <w:rFonts w:asciiTheme="minorHAnsi" w:hAnsiTheme="minorHAnsi"/>
                <w:sz w:val="20"/>
                <w:szCs w:val="20"/>
              </w:rPr>
              <w:t>5</w:t>
            </w:r>
          </w:p>
        </w:tc>
        <w:tc>
          <w:tcPr>
            <w:tcW w:w="10171" w:type="dxa"/>
            <w:gridSpan w:val="3"/>
            <w:shd w:val="clear" w:color="auto" w:fill="auto"/>
            <w:vAlign w:val="bottom"/>
          </w:tcPr>
          <w:p w:rsidR="00241482" w:rsidRPr="0081476C" w:rsidRDefault="00241482" w:rsidP="00B61804">
            <w:pPr>
              <w:spacing w:after="0"/>
              <w:jc w:val="right"/>
              <w:rPr>
                <w:rFonts w:asciiTheme="minorHAnsi" w:hAnsiTheme="minorHAnsi" w:cs="Calibri"/>
                <w:color w:val="000000"/>
                <w:sz w:val="20"/>
                <w:szCs w:val="20"/>
              </w:rPr>
            </w:pPr>
            <w:r w:rsidRPr="0081476C">
              <w:rPr>
                <w:rFonts w:asciiTheme="minorHAnsi" w:hAnsiTheme="minorHAnsi" w:cs="Calibri"/>
                <w:color w:val="000000"/>
                <w:sz w:val="20"/>
                <w:szCs w:val="20"/>
              </w:rPr>
              <w:t>R599</w:t>
            </w:r>
          </w:p>
        </w:tc>
      </w:tr>
      <w:tr w:rsidR="000A4DD6" w:rsidRPr="0081476C" w:rsidTr="00241482">
        <w:trPr>
          <w:trHeight w:val="524"/>
        </w:trPr>
        <w:tc>
          <w:tcPr>
            <w:tcW w:w="11022" w:type="dxa"/>
            <w:gridSpan w:val="4"/>
            <w:shd w:val="clear" w:color="auto" w:fill="auto"/>
          </w:tcPr>
          <w:p w:rsidR="000A4DD6" w:rsidRPr="0081476C" w:rsidRDefault="009D0EAB" w:rsidP="009D0EAB">
            <w:pPr>
              <w:pStyle w:val="ListParagraph"/>
              <w:spacing w:after="0"/>
              <w:ind w:left="0"/>
              <w:rPr>
                <w:rFonts w:asciiTheme="minorHAnsi" w:hAnsiTheme="minorHAnsi" w:cs="Calibri"/>
                <w:b/>
                <w:sz w:val="20"/>
                <w:szCs w:val="20"/>
              </w:rPr>
            </w:pPr>
            <w:r>
              <w:rPr>
                <w:rFonts w:asciiTheme="minorHAnsi" w:hAnsiTheme="minorHAnsi" w:cs="Calibri"/>
                <w:b/>
                <w:sz w:val="20"/>
                <w:szCs w:val="20"/>
              </w:rPr>
              <w:t>A</w:t>
            </w:r>
            <w:r w:rsidR="000A4DD6" w:rsidRPr="0081476C">
              <w:rPr>
                <w:rFonts w:asciiTheme="minorHAnsi" w:hAnsiTheme="minorHAnsi" w:cs="Calibri"/>
                <w:b/>
                <w:sz w:val="20"/>
                <w:szCs w:val="20"/>
              </w:rPr>
              <w:t xml:space="preserve">cademic staff and staff on grades 6+ can elect to join the pension or provident or non-contributory provident fund. For more information, see: </w:t>
            </w:r>
            <w:hyperlink r:id="rId6" w:history="1">
              <w:r w:rsidR="002A2097" w:rsidRPr="002A2097">
                <w:rPr>
                  <w:rStyle w:val="Hyperlink"/>
                  <w:rFonts w:asciiTheme="minorHAnsi" w:hAnsiTheme="minorHAnsi" w:cs="Calibri"/>
                  <w:b/>
                  <w:sz w:val="16"/>
                  <w:szCs w:val="16"/>
                </w:rPr>
                <w:t>http://www.ru.ac.za/humanresources/academicstaff/remunerationandbenefits/retirementfunding/</w:t>
              </w:r>
            </w:hyperlink>
            <w:r w:rsidR="000A4DD6" w:rsidRPr="0081476C">
              <w:rPr>
                <w:rFonts w:asciiTheme="minorHAnsi" w:hAnsiTheme="minorHAnsi" w:cs="Calibri"/>
                <w:b/>
                <w:sz w:val="20"/>
                <w:szCs w:val="20"/>
              </w:rPr>
              <w:t xml:space="preserve"> </w:t>
            </w:r>
          </w:p>
        </w:tc>
      </w:tr>
      <w:tr w:rsidR="00241482" w:rsidRPr="0081476C" w:rsidTr="00392D4B">
        <w:tc>
          <w:tcPr>
            <w:tcW w:w="1843" w:type="dxa"/>
            <w:gridSpan w:val="2"/>
            <w:shd w:val="clear" w:color="auto" w:fill="auto"/>
          </w:tcPr>
          <w:p w:rsidR="00241482" w:rsidRPr="0081476C" w:rsidRDefault="00241482" w:rsidP="00D55EC7">
            <w:pPr>
              <w:pStyle w:val="ListParagraph"/>
              <w:ind w:left="0"/>
              <w:rPr>
                <w:rFonts w:asciiTheme="minorHAnsi" w:hAnsiTheme="minorHAnsi" w:cs="Calibri"/>
                <w:b/>
                <w:sz w:val="20"/>
                <w:szCs w:val="20"/>
              </w:rPr>
            </w:pPr>
          </w:p>
        </w:tc>
        <w:tc>
          <w:tcPr>
            <w:tcW w:w="9179" w:type="dxa"/>
            <w:gridSpan w:val="2"/>
            <w:shd w:val="clear" w:color="auto" w:fill="auto"/>
          </w:tcPr>
          <w:p w:rsidR="00241482" w:rsidRPr="0081476C" w:rsidRDefault="00241482" w:rsidP="006C58AB">
            <w:pPr>
              <w:pStyle w:val="ListParagraph"/>
              <w:spacing w:after="0"/>
              <w:ind w:left="0"/>
              <w:rPr>
                <w:rFonts w:asciiTheme="minorHAnsi" w:hAnsiTheme="minorHAnsi" w:cs="Calibri"/>
                <w:b/>
                <w:sz w:val="20"/>
                <w:szCs w:val="20"/>
              </w:rPr>
            </w:pPr>
            <w:r w:rsidRPr="0081476C">
              <w:rPr>
                <w:rFonts w:asciiTheme="minorHAnsi" w:hAnsiTheme="minorHAnsi" w:cs="Calibri"/>
                <w:b/>
                <w:sz w:val="20"/>
                <w:szCs w:val="20"/>
              </w:rPr>
              <w:t>Rand value INCREASE PER MONTH on basic salary, to apply to all individuals on that grade or post level</w:t>
            </w:r>
          </w:p>
        </w:tc>
      </w:tr>
      <w:tr w:rsidR="000A4DD6" w:rsidRPr="0081476C" w:rsidTr="00241482">
        <w:tc>
          <w:tcPr>
            <w:tcW w:w="1843" w:type="dxa"/>
            <w:gridSpan w:val="2"/>
            <w:shd w:val="clear" w:color="auto" w:fill="auto"/>
          </w:tcPr>
          <w:p w:rsidR="000A4DD6" w:rsidRPr="0081476C" w:rsidRDefault="000A4DD6" w:rsidP="00D55EC7">
            <w:pPr>
              <w:pStyle w:val="ListParagraph"/>
              <w:ind w:left="0"/>
              <w:rPr>
                <w:rFonts w:asciiTheme="minorHAnsi" w:hAnsiTheme="minorHAnsi" w:cs="Calibri"/>
                <w:b/>
                <w:sz w:val="20"/>
                <w:szCs w:val="20"/>
              </w:rPr>
            </w:pPr>
            <w:r w:rsidRPr="0081476C">
              <w:rPr>
                <w:rFonts w:asciiTheme="minorHAnsi" w:hAnsiTheme="minorHAnsi" w:cs="Calibri"/>
                <w:b/>
                <w:sz w:val="20"/>
                <w:szCs w:val="20"/>
              </w:rPr>
              <w:t>Grades</w:t>
            </w:r>
          </w:p>
        </w:tc>
        <w:tc>
          <w:tcPr>
            <w:tcW w:w="3686" w:type="dxa"/>
            <w:shd w:val="clear" w:color="auto" w:fill="auto"/>
          </w:tcPr>
          <w:p w:rsidR="000A4DD6" w:rsidRPr="0081476C" w:rsidRDefault="00241482" w:rsidP="006C58AB">
            <w:pPr>
              <w:pStyle w:val="ListParagraph"/>
              <w:spacing w:after="0"/>
              <w:ind w:left="0"/>
              <w:rPr>
                <w:rFonts w:asciiTheme="minorHAnsi" w:hAnsiTheme="minorHAnsi" w:cs="Calibri"/>
                <w:b/>
                <w:sz w:val="20"/>
                <w:szCs w:val="20"/>
              </w:rPr>
            </w:pPr>
            <w:r w:rsidRPr="0081476C">
              <w:rPr>
                <w:rFonts w:asciiTheme="minorHAnsi" w:hAnsiTheme="minorHAnsi" w:cs="Calibri"/>
                <w:b/>
                <w:sz w:val="20"/>
                <w:szCs w:val="20"/>
              </w:rPr>
              <w:t>On</w:t>
            </w:r>
            <w:r w:rsidR="000A4DD6" w:rsidRPr="0081476C">
              <w:rPr>
                <w:rFonts w:asciiTheme="minorHAnsi" w:hAnsiTheme="minorHAnsi" w:cs="Calibri"/>
                <w:b/>
                <w:sz w:val="20"/>
                <w:szCs w:val="20"/>
              </w:rPr>
              <w:t xml:space="preserve"> pension and provident fund scales</w:t>
            </w:r>
          </w:p>
        </w:tc>
        <w:tc>
          <w:tcPr>
            <w:tcW w:w="5493" w:type="dxa"/>
          </w:tcPr>
          <w:p w:rsidR="000A4DD6" w:rsidRPr="0081476C" w:rsidRDefault="00241482" w:rsidP="006C58AB">
            <w:pPr>
              <w:pStyle w:val="ListParagraph"/>
              <w:spacing w:after="0"/>
              <w:ind w:left="0"/>
              <w:rPr>
                <w:rFonts w:asciiTheme="minorHAnsi" w:hAnsiTheme="minorHAnsi" w:cs="Calibri"/>
                <w:b/>
                <w:sz w:val="20"/>
                <w:szCs w:val="20"/>
              </w:rPr>
            </w:pPr>
            <w:r w:rsidRPr="0081476C">
              <w:rPr>
                <w:rFonts w:asciiTheme="minorHAnsi" w:hAnsiTheme="minorHAnsi" w:cs="Calibri"/>
                <w:b/>
                <w:sz w:val="20"/>
                <w:szCs w:val="20"/>
              </w:rPr>
              <w:t>O</w:t>
            </w:r>
            <w:r w:rsidR="000A4DD6" w:rsidRPr="0081476C">
              <w:rPr>
                <w:rFonts w:asciiTheme="minorHAnsi" w:hAnsiTheme="minorHAnsi" w:cs="Calibri"/>
                <w:b/>
                <w:sz w:val="20"/>
                <w:szCs w:val="20"/>
              </w:rPr>
              <w:t>n non-contributory provident fund scales</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Junior lecturer</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1,395</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1,316</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Lecturer</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1,760</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1,661</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Senior Lecturer</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2,110</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1,991</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Associate Professor</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2,598</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2,451</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 xml:space="preserve">Professor </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2,974</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2,806</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6</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672</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633</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7</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753</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709</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8</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760</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716</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9</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918</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865</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10</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1,079</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1,017</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11</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1,172</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1,105</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12</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1,304</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1,229</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13</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1,535</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1,447</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14</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1,700</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1,603</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15</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1,970</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1,857</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16</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2,327</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2,193</w:t>
            </w:r>
          </w:p>
        </w:tc>
      </w:tr>
      <w:tr w:rsidR="000A4DD6" w:rsidRPr="0081476C" w:rsidTr="00241482">
        <w:tc>
          <w:tcPr>
            <w:tcW w:w="1843" w:type="dxa"/>
            <w:gridSpan w:val="2"/>
            <w:shd w:val="clear" w:color="auto" w:fill="auto"/>
          </w:tcPr>
          <w:p w:rsidR="000A4DD6" w:rsidRPr="0081476C" w:rsidRDefault="000A4DD6" w:rsidP="000A4DD6">
            <w:pPr>
              <w:pStyle w:val="ListParagraph"/>
              <w:spacing w:after="0"/>
              <w:ind w:left="0"/>
              <w:rPr>
                <w:rFonts w:asciiTheme="minorHAnsi" w:hAnsiTheme="minorHAnsi" w:cs="Calibri"/>
                <w:sz w:val="20"/>
                <w:szCs w:val="20"/>
              </w:rPr>
            </w:pPr>
            <w:r w:rsidRPr="0081476C">
              <w:rPr>
                <w:rFonts w:asciiTheme="minorHAnsi" w:hAnsiTheme="minorHAnsi" w:cs="Calibri"/>
                <w:sz w:val="20"/>
                <w:szCs w:val="20"/>
              </w:rPr>
              <w:t>17</w:t>
            </w:r>
          </w:p>
        </w:tc>
        <w:tc>
          <w:tcPr>
            <w:tcW w:w="3686" w:type="dxa"/>
            <w:shd w:val="clear" w:color="auto" w:fill="auto"/>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2,778</w:t>
            </w:r>
          </w:p>
        </w:tc>
        <w:tc>
          <w:tcPr>
            <w:tcW w:w="5493" w:type="dxa"/>
            <w:vAlign w:val="bottom"/>
          </w:tcPr>
          <w:p w:rsidR="000A4DD6" w:rsidRPr="0081476C" w:rsidRDefault="000A4DD6" w:rsidP="000A4DD6">
            <w:pPr>
              <w:spacing w:after="0"/>
              <w:jc w:val="right"/>
              <w:rPr>
                <w:rFonts w:asciiTheme="minorHAnsi" w:hAnsiTheme="minorHAnsi"/>
                <w:color w:val="000000"/>
                <w:sz w:val="20"/>
                <w:szCs w:val="20"/>
              </w:rPr>
            </w:pPr>
            <w:r w:rsidRPr="0081476C">
              <w:rPr>
                <w:rFonts w:asciiTheme="minorHAnsi" w:hAnsiTheme="minorHAnsi"/>
                <w:color w:val="000000"/>
                <w:sz w:val="20"/>
                <w:szCs w:val="20"/>
              </w:rPr>
              <w:t>R 2,619</w:t>
            </w:r>
          </w:p>
        </w:tc>
      </w:tr>
      <w:tr w:rsidR="000A4DD6" w:rsidRPr="0081476C" w:rsidTr="00241482">
        <w:tc>
          <w:tcPr>
            <w:tcW w:w="11022" w:type="dxa"/>
            <w:gridSpan w:val="4"/>
            <w:shd w:val="clear" w:color="auto" w:fill="auto"/>
          </w:tcPr>
          <w:p w:rsidR="000A4DD6" w:rsidRPr="0081476C" w:rsidRDefault="000A4DD6" w:rsidP="00B61804">
            <w:pPr>
              <w:spacing w:after="0"/>
              <w:jc w:val="center"/>
              <w:rPr>
                <w:rFonts w:asciiTheme="minorHAnsi" w:hAnsiTheme="minorHAnsi"/>
                <w:color w:val="000000"/>
                <w:sz w:val="20"/>
                <w:szCs w:val="20"/>
              </w:rPr>
            </w:pPr>
            <w:r w:rsidRPr="0081476C">
              <w:rPr>
                <w:rFonts w:asciiTheme="minorHAnsi" w:hAnsiTheme="minorHAnsi"/>
                <w:color w:val="000000"/>
                <w:sz w:val="20"/>
                <w:szCs w:val="20"/>
              </w:rPr>
              <w:t>Senior management remuneration is still being finalised</w:t>
            </w:r>
            <w:r w:rsidR="002A2097">
              <w:rPr>
                <w:rFonts w:asciiTheme="minorHAnsi" w:hAnsiTheme="minorHAnsi"/>
                <w:color w:val="000000"/>
                <w:sz w:val="20"/>
                <w:szCs w:val="20"/>
              </w:rPr>
              <w:t xml:space="preserve"> and notification of that will take place in due course.</w:t>
            </w:r>
          </w:p>
        </w:tc>
      </w:tr>
      <w:tr w:rsidR="00313185" w:rsidRPr="0081476C" w:rsidTr="00313185">
        <w:trPr>
          <w:trHeight w:val="170"/>
        </w:trPr>
        <w:tc>
          <w:tcPr>
            <w:tcW w:w="11022" w:type="dxa"/>
            <w:gridSpan w:val="4"/>
            <w:shd w:val="clear" w:color="auto" w:fill="auto"/>
          </w:tcPr>
          <w:p w:rsidR="00313185" w:rsidRPr="0081476C" w:rsidRDefault="00313185" w:rsidP="00313185">
            <w:pPr>
              <w:spacing w:after="0"/>
              <w:rPr>
                <w:rFonts w:asciiTheme="minorHAnsi" w:hAnsiTheme="minorHAnsi"/>
                <w:color w:val="000000"/>
                <w:sz w:val="20"/>
                <w:szCs w:val="20"/>
              </w:rPr>
            </w:pPr>
            <w:r w:rsidRPr="00313185">
              <w:rPr>
                <w:rFonts w:asciiTheme="minorHAnsi" w:hAnsiTheme="minorHAnsi" w:cs="Calibri"/>
                <w:sz w:val="16"/>
                <w:szCs w:val="16"/>
              </w:rPr>
              <w:t>Note: Basic cash salary does not include any allowances e.g. housing allowance, transport allowance, night shift allowance, stand-by allowances, HoD allowances etc.</w:t>
            </w:r>
          </w:p>
        </w:tc>
      </w:tr>
    </w:tbl>
    <w:p w:rsidR="00313185" w:rsidRDefault="00313185" w:rsidP="00CC4E96">
      <w:pPr>
        <w:spacing w:after="0"/>
        <w:rPr>
          <w:rFonts w:cs="Calibri"/>
          <w:sz w:val="20"/>
          <w:szCs w:val="20"/>
        </w:rPr>
      </w:pPr>
    </w:p>
    <w:p w:rsidR="006E2E1B" w:rsidRDefault="006E2E1B" w:rsidP="00CC4E96">
      <w:pPr>
        <w:spacing w:after="0"/>
        <w:rPr>
          <w:rFonts w:cs="Calibri"/>
          <w:sz w:val="20"/>
          <w:szCs w:val="20"/>
        </w:rPr>
      </w:pPr>
      <w:r w:rsidRPr="002A2097">
        <w:rPr>
          <w:rFonts w:cs="Calibri"/>
          <w:sz w:val="20"/>
          <w:szCs w:val="20"/>
        </w:rPr>
        <w:t xml:space="preserve">2. </w:t>
      </w:r>
      <w:r w:rsidR="0081476C" w:rsidRPr="002A2097">
        <w:rPr>
          <w:rFonts w:cs="Calibri"/>
          <w:sz w:val="20"/>
          <w:szCs w:val="20"/>
        </w:rPr>
        <w:t>A</w:t>
      </w:r>
      <w:r w:rsidR="00EC3CE3" w:rsidRPr="002A2097">
        <w:rPr>
          <w:rFonts w:cs="Calibri"/>
          <w:sz w:val="20"/>
          <w:szCs w:val="20"/>
        </w:rPr>
        <w:t xml:space="preserve"> protocol for the payment of transport allowances</w:t>
      </w:r>
      <w:r w:rsidR="00404FB5" w:rsidRPr="002A2097">
        <w:rPr>
          <w:rFonts w:cs="Calibri"/>
          <w:sz w:val="20"/>
          <w:szCs w:val="20"/>
        </w:rPr>
        <w:t xml:space="preserve"> has been agreed</w:t>
      </w:r>
      <w:r w:rsidR="00EC3CE3" w:rsidRPr="002A2097">
        <w:rPr>
          <w:rFonts w:cs="Calibri"/>
          <w:sz w:val="20"/>
          <w:szCs w:val="20"/>
        </w:rPr>
        <w:t xml:space="preserve">. Further information is available at: </w:t>
      </w:r>
      <w:hyperlink r:id="rId7" w:history="1">
        <w:r w:rsidR="00EC3CE3" w:rsidRPr="00662D6D">
          <w:rPr>
            <w:rStyle w:val="Hyperlink"/>
            <w:rFonts w:cs="Calibri"/>
            <w:sz w:val="16"/>
            <w:szCs w:val="16"/>
          </w:rPr>
          <w:t>http://www.ru.ac.za/humanresources/policies/policiesandprotocols/remuneration/</w:t>
        </w:r>
      </w:hyperlink>
      <w:r w:rsidR="00982DC3">
        <w:rPr>
          <w:rFonts w:cs="Calibri"/>
          <w:sz w:val="20"/>
          <w:szCs w:val="20"/>
        </w:rPr>
        <w:t>. Look for transport allowance link</w:t>
      </w:r>
      <w:r w:rsidR="008500C4" w:rsidRPr="002A2097">
        <w:rPr>
          <w:rFonts w:cs="Calibri"/>
          <w:sz w:val="20"/>
          <w:szCs w:val="20"/>
        </w:rPr>
        <w:t>;</w:t>
      </w:r>
    </w:p>
    <w:p w:rsidR="002C720B" w:rsidRPr="002A2097" w:rsidRDefault="002C720B" w:rsidP="00CC4E96">
      <w:pPr>
        <w:spacing w:after="0"/>
        <w:rPr>
          <w:rFonts w:cs="Calibri"/>
          <w:sz w:val="20"/>
          <w:szCs w:val="20"/>
        </w:rPr>
      </w:pPr>
    </w:p>
    <w:p w:rsidR="006E2E1B" w:rsidRPr="002A2097" w:rsidRDefault="006E2E1B" w:rsidP="00CC4E96">
      <w:pPr>
        <w:spacing w:after="0"/>
        <w:rPr>
          <w:rFonts w:cs="Calibri"/>
          <w:sz w:val="20"/>
          <w:szCs w:val="20"/>
        </w:rPr>
      </w:pPr>
      <w:r w:rsidRPr="002A2097">
        <w:rPr>
          <w:rFonts w:cs="Calibri"/>
          <w:sz w:val="20"/>
          <w:szCs w:val="20"/>
        </w:rPr>
        <w:t xml:space="preserve">3. </w:t>
      </w:r>
      <w:r w:rsidR="00EC3CE3" w:rsidRPr="002A2097">
        <w:rPr>
          <w:rFonts w:cs="Calibri"/>
          <w:sz w:val="20"/>
          <w:szCs w:val="20"/>
        </w:rPr>
        <w:t>NEHAWU agreed to certain “trade-offs” in this negotiation process. One of these is that no merit award process for grades 1 to 5 will take place in 2013. This money was used to contribute tow</w:t>
      </w:r>
      <w:r w:rsidR="008500C4" w:rsidRPr="002A2097">
        <w:rPr>
          <w:rFonts w:cs="Calibri"/>
          <w:sz w:val="20"/>
          <w:szCs w:val="20"/>
        </w:rPr>
        <w:t>ards a higher annual adjustment;</w:t>
      </w:r>
    </w:p>
    <w:p w:rsidR="002C720B" w:rsidRDefault="002C720B" w:rsidP="008500C4">
      <w:pPr>
        <w:spacing w:after="0" w:line="240" w:lineRule="auto"/>
        <w:jc w:val="both"/>
        <w:rPr>
          <w:color w:val="000000"/>
          <w:sz w:val="20"/>
          <w:szCs w:val="20"/>
        </w:rPr>
      </w:pPr>
    </w:p>
    <w:p w:rsidR="008500C4" w:rsidRPr="002A2097" w:rsidRDefault="008500C4" w:rsidP="008500C4">
      <w:pPr>
        <w:spacing w:after="0" w:line="240" w:lineRule="auto"/>
        <w:jc w:val="both"/>
        <w:rPr>
          <w:bCs/>
          <w:sz w:val="20"/>
          <w:szCs w:val="20"/>
        </w:rPr>
      </w:pPr>
      <w:r w:rsidRPr="002A2097">
        <w:rPr>
          <w:color w:val="000000"/>
          <w:sz w:val="20"/>
          <w:szCs w:val="20"/>
        </w:rPr>
        <w:t xml:space="preserve">4. </w:t>
      </w:r>
      <w:r w:rsidRPr="002A2097">
        <w:rPr>
          <w:bCs/>
          <w:sz w:val="20"/>
          <w:szCs w:val="20"/>
        </w:rPr>
        <w:t>The following implementation agreements have been reached:</w:t>
      </w:r>
    </w:p>
    <w:p w:rsidR="006E18AE" w:rsidRDefault="008500C4" w:rsidP="008500C4">
      <w:pPr>
        <w:tabs>
          <w:tab w:val="left" w:pos="1080"/>
        </w:tabs>
        <w:spacing w:after="0"/>
        <w:jc w:val="both"/>
        <w:rPr>
          <w:bCs/>
          <w:sz w:val="20"/>
          <w:szCs w:val="20"/>
        </w:rPr>
      </w:pPr>
      <w:r w:rsidRPr="002A2097">
        <w:rPr>
          <w:bCs/>
          <w:sz w:val="20"/>
          <w:szCs w:val="20"/>
        </w:rPr>
        <w:t xml:space="preserve">(i) </w:t>
      </w:r>
      <w:r w:rsidR="006E18AE">
        <w:rPr>
          <w:bCs/>
          <w:sz w:val="20"/>
          <w:szCs w:val="20"/>
        </w:rPr>
        <w:t>T</w:t>
      </w:r>
      <w:r w:rsidRPr="002A2097">
        <w:rPr>
          <w:bCs/>
          <w:sz w:val="20"/>
          <w:szCs w:val="20"/>
        </w:rPr>
        <w:t xml:space="preserve">he transport allowance </w:t>
      </w:r>
      <w:r w:rsidR="006E18AE">
        <w:rPr>
          <w:bCs/>
          <w:sz w:val="20"/>
          <w:szCs w:val="20"/>
        </w:rPr>
        <w:t>will be effective 1 March 2013 and will be implemented with the March 2013 pay-run;</w:t>
      </w:r>
    </w:p>
    <w:p w:rsidR="006E18AE" w:rsidRDefault="006E18AE" w:rsidP="008500C4">
      <w:pPr>
        <w:tabs>
          <w:tab w:val="left" w:pos="1080"/>
        </w:tabs>
        <w:spacing w:after="0"/>
        <w:jc w:val="both"/>
        <w:rPr>
          <w:bCs/>
          <w:sz w:val="20"/>
          <w:szCs w:val="20"/>
        </w:rPr>
      </w:pPr>
    </w:p>
    <w:p w:rsidR="006E18AE" w:rsidRDefault="006E18AE" w:rsidP="008500C4">
      <w:pPr>
        <w:tabs>
          <w:tab w:val="left" w:pos="1080"/>
        </w:tabs>
        <w:spacing w:after="0"/>
        <w:jc w:val="both"/>
        <w:rPr>
          <w:bCs/>
          <w:sz w:val="20"/>
          <w:szCs w:val="20"/>
        </w:rPr>
      </w:pPr>
      <w:r>
        <w:rPr>
          <w:bCs/>
          <w:sz w:val="20"/>
          <w:szCs w:val="20"/>
        </w:rPr>
        <w:t>(ii) The rest of</w:t>
      </w:r>
      <w:r w:rsidR="008500C4" w:rsidRPr="002A2097">
        <w:rPr>
          <w:bCs/>
          <w:sz w:val="20"/>
          <w:szCs w:val="20"/>
        </w:rPr>
        <w:t xml:space="preserve"> this agreement is effective from 1 January 2013. This means that staff will receive back-pay for three months (January, February and March)</w:t>
      </w:r>
      <w:r w:rsidR="002C720B">
        <w:rPr>
          <w:bCs/>
          <w:sz w:val="20"/>
          <w:szCs w:val="20"/>
        </w:rPr>
        <w:t xml:space="preserve">. </w:t>
      </w:r>
    </w:p>
    <w:p w:rsidR="006E18AE" w:rsidRDefault="006E18AE" w:rsidP="008500C4">
      <w:pPr>
        <w:tabs>
          <w:tab w:val="left" w:pos="1080"/>
        </w:tabs>
        <w:spacing w:after="0"/>
        <w:jc w:val="both"/>
        <w:rPr>
          <w:bCs/>
          <w:sz w:val="20"/>
          <w:szCs w:val="20"/>
        </w:rPr>
      </w:pPr>
    </w:p>
    <w:p w:rsidR="006E18AE" w:rsidRDefault="006E18AE" w:rsidP="008500C4">
      <w:pPr>
        <w:tabs>
          <w:tab w:val="left" w:pos="1080"/>
        </w:tabs>
        <w:spacing w:after="0"/>
        <w:jc w:val="both"/>
        <w:rPr>
          <w:bCs/>
          <w:sz w:val="20"/>
          <w:szCs w:val="20"/>
        </w:rPr>
      </w:pPr>
    </w:p>
    <w:p w:rsidR="006E18AE" w:rsidRDefault="006E18AE" w:rsidP="008500C4">
      <w:pPr>
        <w:tabs>
          <w:tab w:val="left" w:pos="1080"/>
        </w:tabs>
        <w:spacing w:after="0"/>
        <w:jc w:val="both"/>
        <w:rPr>
          <w:bCs/>
          <w:sz w:val="20"/>
          <w:szCs w:val="20"/>
        </w:rPr>
      </w:pPr>
    </w:p>
    <w:p w:rsidR="006E18AE" w:rsidRDefault="006E18AE" w:rsidP="008500C4">
      <w:pPr>
        <w:tabs>
          <w:tab w:val="left" w:pos="1080"/>
        </w:tabs>
        <w:spacing w:after="0"/>
        <w:jc w:val="both"/>
        <w:rPr>
          <w:bCs/>
          <w:sz w:val="20"/>
          <w:szCs w:val="20"/>
        </w:rPr>
      </w:pPr>
    </w:p>
    <w:p w:rsidR="002C720B" w:rsidRDefault="002C720B" w:rsidP="008500C4">
      <w:pPr>
        <w:tabs>
          <w:tab w:val="left" w:pos="1080"/>
        </w:tabs>
        <w:spacing w:after="0"/>
        <w:jc w:val="both"/>
        <w:rPr>
          <w:bCs/>
          <w:sz w:val="20"/>
          <w:szCs w:val="20"/>
        </w:rPr>
      </w:pPr>
      <w:r>
        <w:rPr>
          <w:bCs/>
          <w:sz w:val="20"/>
          <w:szCs w:val="20"/>
        </w:rPr>
        <w:lastRenderedPageBreak/>
        <w:t>This means that all Rhodes’ employer contributions to your total remuneration will be looked at</w:t>
      </w:r>
      <w:r w:rsidR="006E18AE">
        <w:rPr>
          <w:bCs/>
          <w:sz w:val="20"/>
          <w:szCs w:val="20"/>
        </w:rPr>
        <w:t xml:space="preserve"> e.g.</w:t>
      </w:r>
      <w:r>
        <w:rPr>
          <w:bCs/>
          <w:sz w:val="20"/>
          <w:szCs w:val="20"/>
        </w:rPr>
        <w:t>:</w:t>
      </w:r>
    </w:p>
    <w:p w:rsidR="008500C4" w:rsidRDefault="002C720B" w:rsidP="002C720B">
      <w:pPr>
        <w:pStyle w:val="ListParagraph"/>
        <w:numPr>
          <w:ilvl w:val="0"/>
          <w:numId w:val="2"/>
        </w:numPr>
        <w:tabs>
          <w:tab w:val="left" w:pos="1080"/>
        </w:tabs>
        <w:spacing w:after="0"/>
        <w:jc w:val="both"/>
        <w:rPr>
          <w:sz w:val="20"/>
          <w:szCs w:val="20"/>
        </w:rPr>
      </w:pPr>
      <w:r>
        <w:rPr>
          <w:sz w:val="20"/>
          <w:szCs w:val="20"/>
        </w:rPr>
        <w:t>If you had your service bonus in January, February or March, you will receive the difference between your old (2012) basic salary and your new (2013) basic salary in your back-pay;</w:t>
      </w:r>
    </w:p>
    <w:p w:rsidR="002C720B" w:rsidRPr="002C720B" w:rsidRDefault="002C720B" w:rsidP="002C720B">
      <w:pPr>
        <w:pStyle w:val="ListParagraph"/>
        <w:numPr>
          <w:ilvl w:val="0"/>
          <w:numId w:val="2"/>
        </w:numPr>
        <w:tabs>
          <w:tab w:val="left" w:pos="1080"/>
        </w:tabs>
        <w:spacing w:after="0"/>
        <w:jc w:val="both"/>
        <w:rPr>
          <w:sz w:val="20"/>
          <w:szCs w:val="20"/>
        </w:rPr>
      </w:pPr>
      <w:r>
        <w:rPr>
          <w:sz w:val="20"/>
          <w:szCs w:val="20"/>
        </w:rPr>
        <w:t>The employer contributions to your pension or provident fund on your new basic salary will be higher than for your old basic salary. This will be paid out to you for the three months. The exception is for retirees</w:t>
      </w:r>
      <w:r w:rsidR="006E18AE">
        <w:rPr>
          <w:sz w:val="20"/>
          <w:szCs w:val="20"/>
        </w:rPr>
        <w:t xml:space="preserve"> on the pension fund as the last 12 months’ pensionable salary needs to be maximised</w:t>
      </w:r>
      <w:r>
        <w:rPr>
          <w:sz w:val="20"/>
          <w:szCs w:val="20"/>
        </w:rPr>
        <w:t xml:space="preserve"> – HR will be in contact with you about this;</w:t>
      </w:r>
    </w:p>
    <w:p w:rsidR="002C720B" w:rsidRDefault="002C720B" w:rsidP="008500C4">
      <w:pPr>
        <w:tabs>
          <w:tab w:val="left" w:pos="1080"/>
        </w:tabs>
        <w:spacing w:after="0"/>
        <w:jc w:val="both"/>
        <w:rPr>
          <w:bCs/>
          <w:sz w:val="20"/>
          <w:szCs w:val="20"/>
        </w:rPr>
      </w:pPr>
    </w:p>
    <w:p w:rsidR="0006323B" w:rsidRDefault="008500C4" w:rsidP="006E18AE">
      <w:pPr>
        <w:jc w:val="both"/>
        <w:rPr>
          <w:bCs/>
          <w:sz w:val="20"/>
          <w:szCs w:val="20"/>
        </w:rPr>
      </w:pPr>
      <w:r w:rsidRPr="002A2097">
        <w:rPr>
          <w:bCs/>
          <w:sz w:val="20"/>
          <w:szCs w:val="20"/>
        </w:rPr>
        <w:t xml:space="preserve">(ii) Implementation of the new salary structure will take place </w:t>
      </w:r>
      <w:r w:rsidR="006A2D68" w:rsidRPr="002A2097">
        <w:rPr>
          <w:bCs/>
          <w:sz w:val="20"/>
          <w:szCs w:val="20"/>
        </w:rPr>
        <w:t xml:space="preserve">with the </w:t>
      </w:r>
      <w:r w:rsidRPr="002A2097">
        <w:rPr>
          <w:bCs/>
          <w:sz w:val="20"/>
          <w:szCs w:val="20"/>
        </w:rPr>
        <w:t>April</w:t>
      </w:r>
      <w:r w:rsidR="006A2D68" w:rsidRPr="002A2097">
        <w:rPr>
          <w:bCs/>
          <w:sz w:val="20"/>
          <w:szCs w:val="20"/>
        </w:rPr>
        <w:t xml:space="preserve"> pay-run</w:t>
      </w:r>
      <w:r w:rsidRPr="002A2097">
        <w:rPr>
          <w:bCs/>
          <w:sz w:val="20"/>
          <w:szCs w:val="20"/>
        </w:rPr>
        <w:t xml:space="preserve"> 2013</w:t>
      </w:r>
      <w:r w:rsidR="0006323B">
        <w:rPr>
          <w:bCs/>
          <w:sz w:val="20"/>
          <w:szCs w:val="20"/>
        </w:rPr>
        <w:t>;</w:t>
      </w:r>
    </w:p>
    <w:p w:rsidR="008500C4" w:rsidRPr="002A2097" w:rsidRDefault="0006323B" w:rsidP="006E18AE">
      <w:pPr>
        <w:jc w:val="both"/>
        <w:rPr>
          <w:sz w:val="20"/>
          <w:szCs w:val="20"/>
        </w:rPr>
      </w:pPr>
      <w:r>
        <w:rPr>
          <w:bCs/>
          <w:sz w:val="20"/>
          <w:szCs w:val="20"/>
        </w:rPr>
        <w:t xml:space="preserve">(iv) </w:t>
      </w:r>
      <w:r w:rsidR="006A2D68" w:rsidRPr="002A2097">
        <w:rPr>
          <w:bCs/>
          <w:sz w:val="20"/>
          <w:szCs w:val="20"/>
        </w:rPr>
        <w:t>B</w:t>
      </w:r>
      <w:r w:rsidR="008500C4" w:rsidRPr="002A2097">
        <w:rPr>
          <w:bCs/>
          <w:sz w:val="20"/>
          <w:szCs w:val="20"/>
        </w:rPr>
        <w:t>ack-pay will take pl</w:t>
      </w:r>
      <w:r w:rsidR="002C1748" w:rsidRPr="002A2097">
        <w:rPr>
          <w:bCs/>
          <w:sz w:val="20"/>
          <w:szCs w:val="20"/>
        </w:rPr>
        <w:t>ace with the April 2013 pay-run for academics and support staff grades 6+ plus</w:t>
      </w:r>
      <w:r w:rsidR="006A2D68" w:rsidRPr="002A2097">
        <w:rPr>
          <w:bCs/>
          <w:sz w:val="20"/>
          <w:szCs w:val="20"/>
        </w:rPr>
        <w:t>. F</w:t>
      </w:r>
      <w:r w:rsidR="002C1748" w:rsidRPr="002A2097">
        <w:rPr>
          <w:bCs/>
          <w:sz w:val="20"/>
          <w:szCs w:val="20"/>
        </w:rPr>
        <w:t>or grades 1 to 5, back-pay will be in March and April 2013.</w:t>
      </w:r>
      <w:r w:rsidR="002C720B">
        <w:rPr>
          <w:bCs/>
          <w:sz w:val="20"/>
          <w:szCs w:val="20"/>
        </w:rPr>
        <w:t xml:space="preserve"> In</w:t>
      </w:r>
      <w:r w:rsidR="001A3B55">
        <w:rPr>
          <w:bCs/>
          <w:sz w:val="20"/>
          <w:szCs w:val="20"/>
        </w:rPr>
        <w:t xml:space="preserve"> March 2013, all grades 1 to 5 who are full-time and have been employed permanently since 1 January 2013 will receive a payment of R1290</w:t>
      </w:r>
      <w:r>
        <w:rPr>
          <w:bCs/>
          <w:sz w:val="20"/>
          <w:szCs w:val="20"/>
        </w:rPr>
        <w:t xml:space="preserve"> (R430 increase on grade 1 x 3 months)</w:t>
      </w:r>
      <w:r w:rsidR="001A3B55">
        <w:rPr>
          <w:bCs/>
          <w:sz w:val="20"/>
          <w:szCs w:val="20"/>
        </w:rPr>
        <w:t>. A pro-rata payment will be made for those who joined after 1 January 2013 and/or who work part-time. This payment is from the total back-payment due.</w:t>
      </w:r>
      <w:r>
        <w:rPr>
          <w:bCs/>
          <w:sz w:val="20"/>
          <w:szCs w:val="20"/>
        </w:rPr>
        <w:t xml:space="preserve"> The balance of the back-payment will be made in April 2013.</w:t>
      </w:r>
    </w:p>
    <w:p w:rsidR="006E2E1B" w:rsidRDefault="006E2E1B" w:rsidP="00CC4E96">
      <w:pPr>
        <w:spacing w:after="0"/>
        <w:rPr>
          <w:color w:val="000000"/>
          <w:sz w:val="20"/>
          <w:szCs w:val="20"/>
        </w:rPr>
      </w:pPr>
    </w:p>
    <w:p w:rsidR="00D968BF" w:rsidRDefault="004A3387" w:rsidP="00D968BF">
      <w:pPr>
        <w:spacing w:after="0"/>
        <w:rPr>
          <w:color w:val="000000"/>
          <w:sz w:val="20"/>
          <w:szCs w:val="20"/>
        </w:rPr>
      </w:pPr>
      <w:r w:rsidRPr="002A2097">
        <w:rPr>
          <w:color w:val="000000"/>
          <w:sz w:val="20"/>
          <w:szCs w:val="20"/>
        </w:rPr>
        <w:t xml:space="preserve">This notification has been drafted </w:t>
      </w:r>
      <w:r w:rsidR="008500C4" w:rsidRPr="002A2097">
        <w:rPr>
          <w:color w:val="000000"/>
          <w:sz w:val="20"/>
          <w:szCs w:val="20"/>
        </w:rPr>
        <w:t xml:space="preserve">in consultation with the unions: </w:t>
      </w:r>
      <w:r w:rsidRPr="002A2097">
        <w:rPr>
          <w:color w:val="000000"/>
          <w:sz w:val="20"/>
          <w:szCs w:val="20"/>
        </w:rPr>
        <w:t>NEHAWU</w:t>
      </w:r>
      <w:r w:rsidR="00982DC3">
        <w:rPr>
          <w:color w:val="000000"/>
          <w:sz w:val="20"/>
          <w:szCs w:val="20"/>
        </w:rPr>
        <w:t>, full-time shop-steward</w:t>
      </w:r>
      <w:r w:rsidR="00F521D1" w:rsidRPr="002A2097">
        <w:rPr>
          <w:color w:val="000000"/>
          <w:sz w:val="20"/>
          <w:szCs w:val="20"/>
        </w:rPr>
        <w:t xml:space="preserve">: </w:t>
      </w:r>
      <w:r w:rsidR="00CC4E96" w:rsidRPr="002A2097">
        <w:rPr>
          <w:color w:val="000000"/>
          <w:sz w:val="20"/>
          <w:szCs w:val="20"/>
        </w:rPr>
        <w:t>Siphiwo Mpumlo</w:t>
      </w:r>
      <w:r w:rsidR="00982DC3">
        <w:rPr>
          <w:color w:val="000000"/>
          <w:sz w:val="20"/>
          <w:szCs w:val="20"/>
        </w:rPr>
        <w:t xml:space="preserve">; </w:t>
      </w:r>
      <w:r w:rsidRPr="002A2097">
        <w:rPr>
          <w:color w:val="000000"/>
          <w:sz w:val="20"/>
          <w:szCs w:val="20"/>
        </w:rPr>
        <w:t>NTEU</w:t>
      </w:r>
      <w:r w:rsidR="00982DC3">
        <w:rPr>
          <w:color w:val="000000"/>
          <w:sz w:val="20"/>
          <w:szCs w:val="20"/>
        </w:rPr>
        <w:t xml:space="preserve"> Chairperson</w:t>
      </w:r>
      <w:r w:rsidR="00F521D1" w:rsidRPr="002A2097">
        <w:rPr>
          <w:color w:val="000000"/>
          <w:sz w:val="20"/>
          <w:szCs w:val="20"/>
        </w:rPr>
        <w:t xml:space="preserve">: </w:t>
      </w:r>
      <w:r w:rsidR="00CC4E96" w:rsidRPr="002A2097">
        <w:rPr>
          <w:color w:val="000000"/>
          <w:sz w:val="20"/>
          <w:szCs w:val="20"/>
        </w:rPr>
        <w:t xml:space="preserve">Ryno van Rooyen, </w:t>
      </w:r>
      <w:r w:rsidR="00F521D1" w:rsidRPr="002A2097">
        <w:rPr>
          <w:color w:val="000000"/>
          <w:sz w:val="20"/>
          <w:szCs w:val="20"/>
        </w:rPr>
        <w:t>Chairperson</w:t>
      </w:r>
      <w:r w:rsidR="00982DC3">
        <w:rPr>
          <w:color w:val="000000"/>
          <w:sz w:val="20"/>
          <w:szCs w:val="20"/>
        </w:rPr>
        <w:t xml:space="preserve">; </w:t>
      </w:r>
      <w:r w:rsidRPr="002A2097">
        <w:rPr>
          <w:color w:val="000000"/>
          <w:sz w:val="20"/>
          <w:szCs w:val="20"/>
        </w:rPr>
        <w:t>Rhodes University</w:t>
      </w:r>
      <w:r w:rsidR="00982DC3">
        <w:rPr>
          <w:color w:val="000000"/>
          <w:sz w:val="20"/>
          <w:szCs w:val="20"/>
        </w:rPr>
        <w:t xml:space="preserve"> Director: HR, Sarah Fischer. </w:t>
      </w:r>
      <w:r w:rsidR="00982DC3">
        <w:rPr>
          <w:color w:val="000000"/>
          <w:sz w:val="20"/>
          <w:szCs w:val="20"/>
        </w:rPr>
        <w:tab/>
      </w:r>
    </w:p>
    <w:p w:rsidR="0006323B" w:rsidRDefault="0006323B" w:rsidP="006D497A">
      <w:pPr>
        <w:spacing w:after="0"/>
        <w:rPr>
          <w:color w:val="000000"/>
          <w:sz w:val="16"/>
          <w:szCs w:val="16"/>
        </w:rPr>
      </w:pPr>
    </w:p>
    <w:p w:rsidR="004A3387" w:rsidRPr="0006323B" w:rsidRDefault="00D968BF" w:rsidP="006D497A">
      <w:pPr>
        <w:spacing w:after="0"/>
      </w:pPr>
      <w:r w:rsidRPr="0006323B">
        <w:rPr>
          <w:color w:val="000000"/>
        </w:rPr>
        <w:t>An isiXhosa translation of this document will be distributed in due course.</w:t>
      </w:r>
      <w:r w:rsidR="0006323B">
        <w:rPr>
          <w:color w:val="000000"/>
        </w:rPr>
        <w:t xml:space="preserve"> </w:t>
      </w:r>
      <w:r w:rsidRPr="0006323B">
        <w:rPr>
          <w:color w:val="000000"/>
        </w:rPr>
        <w:tab/>
      </w:r>
      <w:r w:rsidRPr="0006323B">
        <w:rPr>
          <w:color w:val="000000"/>
        </w:rPr>
        <w:tab/>
      </w:r>
      <w:r w:rsidR="00982DC3" w:rsidRPr="0006323B">
        <w:rPr>
          <w:color w:val="000000"/>
        </w:rPr>
        <w:tab/>
        <w:t>13/03/2013</w:t>
      </w:r>
    </w:p>
    <w:p w:rsidR="00D968BF" w:rsidRPr="0006323B" w:rsidRDefault="00D968BF">
      <w:pPr>
        <w:spacing w:after="0"/>
      </w:pPr>
    </w:p>
    <w:sectPr w:rsidR="00D968BF" w:rsidRPr="0006323B" w:rsidSect="007A7A6A">
      <w:pgSz w:w="12240" w:h="15840"/>
      <w:pgMar w:top="567"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40DD"/>
    <w:multiLevelType w:val="hybridMultilevel"/>
    <w:tmpl w:val="3074559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74A6177"/>
    <w:multiLevelType w:val="hybridMultilevel"/>
    <w:tmpl w:val="C108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87"/>
    <w:rsid w:val="0006323B"/>
    <w:rsid w:val="00092ECD"/>
    <w:rsid w:val="000A4DD6"/>
    <w:rsid w:val="001A3B55"/>
    <w:rsid w:val="00241482"/>
    <w:rsid w:val="002A2097"/>
    <w:rsid w:val="002C1748"/>
    <w:rsid w:val="002C720B"/>
    <w:rsid w:val="002E13A5"/>
    <w:rsid w:val="00313185"/>
    <w:rsid w:val="0037680D"/>
    <w:rsid w:val="00404FB5"/>
    <w:rsid w:val="004A3387"/>
    <w:rsid w:val="00535A6B"/>
    <w:rsid w:val="00607DC5"/>
    <w:rsid w:val="00615A5F"/>
    <w:rsid w:val="0061700E"/>
    <w:rsid w:val="00662D6D"/>
    <w:rsid w:val="006A2D68"/>
    <w:rsid w:val="006C58AB"/>
    <w:rsid w:val="006D497A"/>
    <w:rsid w:val="006E18AE"/>
    <w:rsid w:val="006E2E1B"/>
    <w:rsid w:val="00715AA0"/>
    <w:rsid w:val="00757FBB"/>
    <w:rsid w:val="007A7A6A"/>
    <w:rsid w:val="0081476C"/>
    <w:rsid w:val="008500C4"/>
    <w:rsid w:val="00954F14"/>
    <w:rsid w:val="009605F6"/>
    <w:rsid w:val="00982DC3"/>
    <w:rsid w:val="009D0EAB"/>
    <w:rsid w:val="00A57268"/>
    <w:rsid w:val="00B06F56"/>
    <w:rsid w:val="00B13970"/>
    <w:rsid w:val="00B61804"/>
    <w:rsid w:val="00CC4E96"/>
    <w:rsid w:val="00D61CCA"/>
    <w:rsid w:val="00D76380"/>
    <w:rsid w:val="00D968BF"/>
    <w:rsid w:val="00EC3CE3"/>
    <w:rsid w:val="00F521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character" w:styleId="Hyperlink">
    <w:name w:val="Hyperlink"/>
    <w:basedOn w:val="DefaultParagraphFont"/>
    <w:uiPriority w:val="99"/>
    <w:unhideWhenUsed/>
    <w:rsid w:val="000A4D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character" w:styleId="Hyperlink">
    <w:name w:val="Hyperlink"/>
    <w:basedOn w:val="DefaultParagraphFont"/>
    <w:uiPriority w:val="99"/>
    <w:unhideWhenUsed/>
    <w:rsid w:val="000A4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u.ac.za/humanresources/policies/policiesandprotocols/remune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ac.za/humanresources/academicstaff/remunerationandbenefits/retirementfund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cp:lastPrinted>2013-03-13T12:47:00Z</cp:lastPrinted>
  <dcterms:created xsi:type="dcterms:W3CDTF">2013-03-13T13:51:00Z</dcterms:created>
  <dcterms:modified xsi:type="dcterms:W3CDTF">2013-03-13T13:51:00Z</dcterms:modified>
</cp:coreProperties>
</file>