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FD" w:rsidRDefault="00DE43FD">
      <w:pPr>
        <w:rPr>
          <w:rFonts w:asciiTheme="minorHAnsi" w:hAnsiTheme="minorHAnsi" w:cstheme="minorHAnsi"/>
          <w:b/>
          <w:sz w:val="28"/>
          <w:szCs w:val="28"/>
        </w:rPr>
      </w:pPr>
      <w:bookmarkStart w:id="0" w:name="_GoBack"/>
      <w:bookmarkEnd w:id="0"/>
    </w:p>
    <w:p w:rsidR="00BE7A3E" w:rsidRPr="00945A37" w:rsidRDefault="00945A37">
      <w:pPr>
        <w:rPr>
          <w:rFonts w:asciiTheme="minorHAnsi" w:hAnsiTheme="minorHAnsi" w:cstheme="minorHAnsi"/>
          <w:b/>
          <w:sz w:val="28"/>
          <w:szCs w:val="28"/>
        </w:rPr>
      </w:pPr>
      <w:r w:rsidRPr="00945A37">
        <w:rPr>
          <w:rFonts w:asciiTheme="minorHAnsi" w:hAnsiTheme="minorHAnsi" w:cstheme="minorHAnsi"/>
          <w:b/>
          <w:sz w:val="28"/>
          <w:szCs w:val="28"/>
        </w:rPr>
        <w:t>To all permanent staff in Council funded posts at Rhodes University</w:t>
      </w:r>
    </w:p>
    <w:p w:rsidR="00BE7A3E" w:rsidRPr="00945A37" w:rsidRDefault="00BE7A3E" w:rsidP="00BE7A3E">
      <w:pPr>
        <w:jc w:val="both"/>
        <w:rPr>
          <w:rFonts w:asciiTheme="minorHAnsi" w:hAnsiTheme="minorHAnsi" w:cstheme="minorHAnsi"/>
          <w:b/>
          <w:sz w:val="28"/>
          <w:szCs w:val="28"/>
        </w:rPr>
      </w:pPr>
    </w:p>
    <w:p w:rsidR="00BE7A3E" w:rsidRDefault="00BE7A3E" w:rsidP="00BE7A3E">
      <w:pPr>
        <w:jc w:val="both"/>
        <w:rPr>
          <w:rFonts w:ascii="Calibri" w:hAnsi="Calibri" w:cs="Calibri"/>
          <w:sz w:val="22"/>
          <w:szCs w:val="22"/>
        </w:rPr>
      </w:pPr>
      <w:r w:rsidRPr="00BE7A3E">
        <w:rPr>
          <w:rFonts w:ascii="Calibri" w:hAnsi="Calibri" w:cs="Calibri"/>
          <w:sz w:val="22"/>
          <w:szCs w:val="22"/>
        </w:rPr>
        <w:t xml:space="preserve">Rhodes University </w:t>
      </w:r>
      <w:r>
        <w:rPr>
          <w:rFonts w:ascii="Calibri" w:hAnsi="Calibri" w:cs="Calibri"/>
          <w:sz w:val="22"/>
          <w:szCs w:val="22"/>
        </w:rPr>
        <w:t>is</w:t>
      </w:r>
      <w:r w:rsidRPr="00BE7A3E">
        <w:rPr>
          <w:rFonts w:ascii="Calibri" w:hAnsi="Calibri" w:cs="Calibri"/>
          <w:sz w:val="22"/>
          <w:szCs w:val="22"/>
        </w:rPr>
        <w:t xml:space="preserve"> pleased to announce agreement as regards the substantive agreement</w:t>
      </w:r>
      <w:r>
        <w:rPr>
          <w:rFonts w:ascii="Calibri" w:hAnsi="Calibri" w:cs="Calibri"/>
          <w:sz w:val="22"/>
          <w:szCs w:val="22"/>
        </w:rPr>
        <w:t>s</w:t>
      </w:r>
      <w:r w:rsidRPr="00BE7A3E">
        <w:rPr>
          <w:rFonts w:ascii="Calibri" w:hAnsi="Calibri" w:cs="Calibri"/>
          <w:sz w:val="22"/>
          <w:szCs w:val="22"/>
        </w:rPr>
        <w:t xml:space="preserve"> related to staff remuneration for the period 1 January 2012 to 31 December 2012. </w:t>
      </w:r>
      <w:r>
        <w:rPr>
          <w:rFonts w:ascii="Calibri" w:hAnsi="Calibri" w:cs="Calibri"/>
          <w:sz w:val="22"/>
          <w:szCs w:val="22"/>
        </w:rPr>
        <w:t xml:space="preserve">This notification includes agreements with both NTEU and NEHAWU. In the case of both unions, the remuneration strategy followed </w:t>
      </w:r>
      <w:r w:rsidR="00F07B60">
        <w:rPr>
          <w:rFonts w:ascii="Calibri" w:hAnsi="Calibri" w:cs="Calibri"/>
          <w:sz w:val="22"/>
          <w:szCs w:val="22"/>
        </w:rPr>
        <w:t>for 2012 w</w:t>
      </w:r>
      <w:r>
        <w:rPr>
          <w:rFonts w:ascii="Calibri" w:hAnsi="Calibri" w:cs="Calibri"/>
          <w:sz w:val="22"/>
          <w:szCs w:val="22"/>
        </w:rPr>
        <w:t>as to allocate rand value increases per grade and academic level in order to address past historical inequities within grades.</w:t>
      </w:r>
      <w:r w:rsidR="00F07B60">
        <w:rPr>
          <w:rFonts w:ascii="Calibri" w:hAnsi="Calibri" w:cs="Calibri"/>
          <w:sz w:val="22"/>
          <w:szCs w:val="22"/>
        </w:rPr>
        <w:t xml:space="preserve"> Both unions have indicated a commitment to increasing the minimum levels of remuneration of staff on the various grades and levels and in all cases, part of the settlement was allocated to a market adjustment. This will be implemented at the same</w:t>
      </w:r>
      <w:r w:rsidR="00C71F8C">
        <w:rPr>
          <w:rFonts w:ascii="Calibri" w:hAnsi="Calibri" w:cs="Calibri"/>
          <w:sz w:val="22"/>
          <w:szCs w:val="22"/>
        </w:rPr>
        <w:t xml:space="preserve"> time as the annual adjustment in 2012. </w:t>
      </w:r>
      <w:r>
        <w:rPr>
          <w:rFonts w:ascii="Calibri" w:hAnsi="Calibri" w:cs="Calibri"/>
          <w:sz w:val="22"/>
          <w:szCs w:val="22"/>
        </w:rPr>
        <w:t xml:space="preserve">  </w:t>
      </w:r>
    </w:p>
    <w:p w:rsidR="00BE7A3E" w:rsidRDefault="00BE7A3E" w:rsidP="00BE7A3E">
      <w:pPr>
        <w:jc w:val="both"/>
        <w:rPr>
          <w:rFonts w:ascii="Calibri" w:hAnsi="Calibri" w:cs="Calibri"/>
          <w:sz w:val="22"/>
          <w:szCs w:val="22"/>
        </w:rPr>
      </w:pPr>
    </w:p>
    <w:p w:rsidR="00BE7A3E" w:rsidRPr="000B018E" w:rsidRDefault="00BE7A3E" w:rsidP="0048357E">
      <w:pPr>
        <w:pStyle w:val="ListParagraph"/>
        <w:numPr>
          <w:ilvl w:val="0"/>
          <w:numId w:val="1"/>
        </w:numPr>
        <w:jc w:val="both"/>
        <w:rPr>
          <w:rFonts w:ascii="Calibri" w:hAnsi="Calibri" w:cs="Calibri"/>
        </w:rPr>
      </w:pPr>
      <w:r w:rsidRPr="000B018E">
        <w:rPr>
          <w:rFonts w:ascii="Calibri" w:hAnsi="Calibri" w:cs="Calibri"/>
          <w:b/>
        </w:rPr>
        <w:t xml:space="preserve">OVERVIEW: </w:t>
      </w:r>
    </w:p>
    <w:p w:rsidR="00D12138" w:rsidRPr="00D12138" w:rsidRDefault="00BE7A3E" w:rsidP="00D12138">
      <w:pPr>
        <w:numPr>
          <w:ilvl w:val="1"/>
          <w:numId w:val="1"/>
        </w:numPr>
        <w:jc w:val="both"/>
        <w:rPr>
          <w:rFonts w:ascii="Calibri" w:hAnsi="Calibri" w:cs="Calibri"/>
          <w:sz w:val="22"/>
          <w:szCs w:val="22"/>
        </w:rPr>
      </w:pPr>
      <w:r w:rsidRPr="00D12138">
        <w:rPr>
          <w:rFonts w:ascii="Calibri" w:hAnsi="Calibri" w:cs="Calibri"/>
          <w:sz w:val="22"/>
          <w:szCs w:val="22"/>
        </w:rPr>
        <w:t>In the case of academic staff and support staff grades 6+ (excluding senior management), a</w:t>
      </w:r>
      <w:r w:rsidRPr="00BE7A3E">
        <w:rPr>
          <w:rFonts w:ascii="Calibri" w:hAnsi="Calibri" w:cs="Calibri"/>
          <w:sz w:val="22"/>
          <w:szCs w:val="22"/>
        </w:rPr>
        <w:t xml:space="preserve"> total budget shift of 7.1% (2012 on 2011 staff budget for this collective) has been agreed on; </w:t>
      </w:r>
    </w:p>
    <w:p w:rsidR="00425130" w:rsidRPr="00EB5F21" w:rsidRDefault="00D12138" w:rsidP="00425130">
      <w:pPr>
        <w:numPr>
          <w:ilvl w:val="1"/>
          <w:numId w:val="1"/>
        </w:numPr>
        <w:jc w:val="both"/>
        <w:rPr>
          <w:rFonts w:ascii="Calibri" w:hAnsi="Calibri" w:cs="Calibri"/>
          <w:sz w:val="22"/>
          <w:szCs w:val="22"/>
        </w:rPr>
      </w:pPr>
      <w:r w:rsidRPr="00D12138">
        <w:rPr>
          <w:rFonts w:ascii="Calibri" w:hAnsi="Calibri" w:cs="Calibri"/>
          <w:sz w:val="22"/>
          <w:szCs w:val="22"/>
        </w:rPr>
        <w:t>In the case of support staff on grade 1 to 5, a</w:t>
      </w:r>
      <w:r w:rsidRPr="00D12138">
        <w:rPr>
          <w:rFonts w:ascii="Calibri" w:hAnsi="Calibri"/>
          <w:sz w:val="22"/>
          <w:szCs w:val="22"/>
        </w:rPr>
        <w:t xml:space="preserve"> total budget shift of 7.6% (2012 on 2011 staff budget for this </w:t>
      </w:r>
      <w:r w:rsidR="00EB5F21">
        <w:rPr>
          <w:rFonts w:ascii="Calibri" w:hAnsi="Calibri"/>
          <w:sz w:val="22"/>
          <w:szCs w:val="22"/>
        </w:rPr>
        <w:t>collective) has been agreed on; and</w:t>
      </w:r>
    </w:p>
    <w:p w:rsidR="00EB5F21" w:rsidRDefault="00EB5F21" w:rsidP="00425130">
      <w:pPr>
        <w:numPr>
          <w:ilvl w:val="1"/>
          <w:numId w:val="1"/>
        </w:numPr>
        <w:jc w:val="both"/>
        <w:rPr>
          <w:rFonts w:ascii="Calibri" w:hAnsi="Calibri" w:cs="Calibri"/>
          <w:sz w:val="22"/>
          <w:szCs w:val="22"/>
        </w:rPr>
      </w:pPr>
      <w:r>
        <w:rPr>
          <w:rFonts w:ascii="Calibri" w:hAnsi="Calibri"/>
          <w:sz w:val="22"/>
          <w:szCs w:val="22"/>
        </w:rPr>
        <w:t xml:space="preserve">In the case of senior management, a total budget shift of 6.6% has been agreed on but the allocation of </w:t>
      </w:r>
      <w:r w:rsidR="00F92589">
        <w:rPr>
          <w:rFonts w:ascii="Calibri" w:hAnsi="Calibri"/>
          <w:sz w:val="22"/>
          <w:szCs w:val="22"/>
        </w:rPr>
        <w:t>those still needs</w:t>
      </w:r>
      <w:r>
        <w:rPr>
          <w:rFonts w:ascii="Calibri" w:hAnsi="Calibri"/>
          <w:sz w:val="22"/>
          <w:szCs w:val="22"/>
        </w:rPr>
        <w:t xml:space="preserve"> to be finalised.</w:t>
      </w:r>
      <w:r w:rsidR="00BC45B2">
        <w:rPr>
          <w:rFonts w:ascii="Calibri" w:hAnsi="Calibri"/>
          <w:sz w:val="22"/>
          <w:szCs w:val="22"/>
        </w:rPr>
        <w:t xml:space="preserve"> </w:t>
      </w:r>
    </w:p>
    <w:p w:rsidR="00425130" w:rsidRDefault="00425130" w:rsidP="00425130">
      <w:pPr>
        <w:ind w:left="720"/>
        <w:jc w:val="both"/>
        <w:rPr>
          <w:rFonts w:ascii="Calibri" w:hAnsi="Calibri" w:cs="Calibri"/>
          <w:sz w:val="22"/>
          <w:szCs w:val="22"/>
        </w:rPr>
      </w:pPr>
    </w:p>
    <w:p w:rsidR="000B018E" w:rsidRPr="00425130" w:rsidRDefault="000B018E" w:rsidP="00425130">
      <w:pPr>
        <w:ind w:left="720"/>
        <w:jc w:val="both"/>
        <w:rPr>
          <w:rFonts w:ascii="Calibri" w:hAnsi="Calibri" w:cs="Calibri"/>
          <w:sz w:val="22"/>
          <w:szCs w:val="22"/>
        </w:rPr>
      </w:pPr>
    </w:p>
    <w:p w:rsidR="000B018E" w:rsidRPr="000B018E" w:rsidRDefault="00425130" w:rsidP="00425130">
      <w:pPr>
        <w:numPr>
          <w:ilvl w:val="0"/>
          <w:numId w:val="1"/>
        </w:numPr>
        <w:jc w:val="both"/>
        <w:rPr>
          <w:rFonts w:ascii="Calibri" w:hAnsi="Calibri" w:cs="Calibri"/>
          <w:sz w:val="22"/>
          <w:szCs w:val="22"/>
        </w:rPr>
      </w:pPr>
      <w:r w:rsidRPr="000B018E">
        <w:rPr>
          <w:rFonts w:ascii="Calibri" w:hAnsi="Calibri" w:cs="Calibri"/>
          <w:b/>
          <w:bCs/>
        </w:rPr>
        <w:t>IMPLEMENTATION OF AGREEMENT:</w:t>
      </w:r>
      <w:r w:rsidRPr="00425130">
        <w:rPr>
          <w:rFonts w:ascii="Calibri" w:hAnsi="Calibri" w:cs="Calibri"/>
          <w:b/>
          <w:bCs/>
          <w:sz w:val="22"/>
          <w:szCs w:val="22"/>
        </w:rPr>
        <w:t xml:space="preserve"> </w:t>
      </w:r>
      <w:r w:rsidR="000B018E">
        <w:rPr>
          <w:rFonts w:ascii="Calibri" w:hAnsi="Calibri" w:cs="Calibri"/>
          <w:b/>
          <w:bCs/>
          <w:sz w:val="22"/>
          <w:szCs w:val="22"/>
        </w:rPr>
        <w:t>This applies to all permanent staff</w:t>
      </w:r>
    </w:p>
    <w:p w:rsidR="00425130" w:rsidRPr="00425130" w:rsidRDefault="00425130" w:rsidP="000B018E">
      <w:pPr>
        <w:ind w:left="720"/>
        <w:jc w:val="both"/>
        <w:rPr>
          <w:rFonts w:ascii="Calibri" w:hAnsi="Calibri" w:cs="Calibri"/>
          <w:sz w:val="22"/>
          <w:szCs w:val="22"/>
        </w:rPr>
      </w:pPr>
      <w:r w:rsidRPr="00425130">
        <w:rPr>
          <w:rFonts w:ascii="Calibri" w:hAnsi="Calibri" w:cs="Calibri"/>
          <w:bCs/>
          <w:sz w:val="22"/>
          <w:szCs w:val="22"/>
        </w:rPr>
        <w:t>Wi</w:t>
      </w:r>
      <w:r w:rsidR="000B018E">
        <w:rPr>
          <w:rFonts w:ascii="Calibri" w:hAnsi="Calibri" w:cs="Calibri"/>
          <w:bCs/>
          <w:sz w:val="22"/>
          <w:szCs w:val="22"/>
        </w:rPr>
        <w:t xml:space="preserve">th the exception of certain </w:t>
      </w:r>
      <w:r w:rsidRPr="00425130">
        <w:rPr>
          <w:rFonts w:ascii="Calibri" w:hAnsi="Calibri" w:cs="Calibri"/>
          <w:bCs/>
          <w:sz w:val="22"/>
          <w:szCs w:val="22"/>
        </w:rPr>
        <w:t>allowance</w:t>
      </w:r>
      <w:r w:rsidR="000B018E">
        <w:rPr>
          <w:rFonts w:ascii="Calibri" w:hAnsi="Calibri" w:cs="Calibri"/>
          <w:bCs/>
          <w:sz w:val="22"/>
          <w:szCs w:val="22"/>
        </w:rPr>
        <w:t>s</w:t>
      </w:r>
      <w:r w:rsidRPr="00425130">
        <w:rPr>
          <w:rFonts w:ascii="Calibri" w:hAnsi="Calibri" w:cs="Calibri"/>
          <w:bCs/>
          <w:sz w:val="22"/>
          <w:szCs w:val="22"/>
        </w:rPr>
        <w:t xml:space="preserve"> that shall be implemented in January 2012, this agreement shall be implemented at the end of February 2012. This means that staff will receive back-pay as follows:</w:t>
      </w:r>
    </w:p>
    <w:p w:rsidR="00425130" w:rsidRPr="002C0C1F" w:rsidRDefault="00425130" w:rsidP="002C0C1F">
      <w:pPr>
        <w:pStyle w:val="ListParagraph"/>
        <w:numPr>
          <w:ilvl w:val="0"/>
          <w:numId w:val="2"/>
        </w:numPr>
        <w:tabs>
          <w:tab w:val="left" w:pos="1080"/>
        </w:tabs>
        <w:jc w:val="both"/>
        <w:rPr>
          <w:rFonts w:ascii="Calibri" w:hAnsi="Calibri" w:cs="Calibri"/>
          <w:bCs/>
          <w:sz w:val="22"/>
          <w:szCs w:val="22"/>
        </w:rPr>
      </w:pPr>
      <w:r w:rsidRPr="002C0C1F">
        <w:rPr>
          <w:rFonts w:ascii="Calibri" w:hAnsi="Calibri" w:cs="Calibri"/>
          <w:bCs/>
          <w:sz w:val="22"/>
          <w:szCs w:val="22"/>
        </w:rPr>
        <w:t>For academic staff: For one month (January 2012) at the full cost to company rate for the employee</w:t>
      </w:r>
      <w:r w:rsidR="00865548">
        <w:rPr>
          <w:rFonts w:ascii="Calibri" w:hAnsi="Calibri" w:cs="Calibri"/>
          <w:bCs/>
          <w:sz w:val="22"/>
          <w:szCs w:val="22"/>
        </w:rPr>
        <w:t xml:space="preserve"> excluding any allowances already paid in January 2012</w:t>
      </w:r>
      <w:r w:rsidRPr="002C0C1F">
        <w:rPr>
          <w:rFonts w:ascii="Calibri" w:hAnsi="Calibri" w:cs="Calibri"/>
          <w:bCs/>
          <w:sz w:val="22"/>
          <w:szCs w:val="22"/>
        </w:rPr>
        <w:t>;</w:t>
      </w:r>
    </w:p>
    <w:p w:rsidR="0048357E" w:rsidRPr="002C0C1F" w:rsidRDefault="0048357E" w:rsidP="002C0C1F">
      <w:pPr>
        <w:pStyle w:val="ListParagraph"/>
        <w:numPr>
          <w:ilvl w:val="0"/>
          <w:numId w:val="2"/>
        </w:numPr>
        <w:tabs>
          <w:tab w:val="left" w:pos="1080"/>
        </w:tabs>
        <w:jc w:val="both"/>
        <w:rPr>
          <w:rFonts w:ascii="Calibri" w:hAnsi="Calibri" w:cs="Calibri"/>
          <w:bCs/>
          <w:sz w:val="22"/>
          <w:szCs w:val="22"/>
        </w:rPr>
      </w:pPr>
      <w:r w:rsidRPr="002C0C1F">
        <w:rPr>
          <w:rFonts w:ascii="Calibri" w:hAnsi="Calibri" w:cs="Calibri"/>
          <w:bCs/>
          <w:sz w:val="22"/>
          <w:szCs w:val="22"/>
        </w:rPr>
        <w:t>For support staff on grades 1 to 5: For one month (January 2012) at the full cost to company rate for the employee</w:t>
      </w:r>
      <w:r w:rsidR="00865548">
        <w:rPr>
          <w:rFonts w:ascii="Calibri" w:hAnsi="Calibri" w:cs="Calibri"/>
          <w:bCs/>
          <w:sz w:val="22"/>
          <w:szCs w:val="22"/>
        </w:rPr>
        <w:t xml:space="preserve"> excluding any allowances already paid in January 2012</w:t>
      </w:r>
      <w:r w:rsidRPr="002C0C1F">
        <w:rPr>
          <w:rFonts w:ascii="Calibri" w:hAnsi="Calibri" w:cs="Calibri"/>
          <w:bCs/>
          <w:sz w:val="22"/>
          <w:szCs w:val="22"/>
        </w:rPr>
        <w:t>;</w:t>
      </w:r>
    </w:p>
    <w:p w:rsidR="00425130" w:rsidRPr="002C0C1F" w:rsidRDefault="002C0C1F" w:rsidP="002C0C1F">
      <w:pPr>
        <w:pStyle w:val="ListParagraph"/>
        <w:numPr>
          <w:ilvl w:val="0"/>
          <w:numId w:val="2"/>
        </w:numPr>
        <w:tabs>
          <w:tab w:val="left" w:pos="1080"/>
        </w:tabs>
        <w:jc w:val="both"/>
        <w:rPr>
          <w:rFonts w:ascii="Calibri" w:hAnsi="Calibri" w:cs="Calibri"/>
          <w:sz w:val="22"/>
          <w:szCs w:val="22"/>
        </w:rPr>
      </w:pPr>
      <w:r>
        <w:rPr>
          <w:rFonts w:ascii="Calibri" w:hAnsi="Calibri" w:cs="Calibri"/>
          <w:bCs/>
          <w:sz w:val="22"/>
          <w:szCs w:val="22"/>
        </w:rPr>
        <w:t>F</w:t>
      </w:r>
      <w:r w:rsidR="00425130" w:rsidRPr="002C0C1F">
        <w:rPr>
          <w:rFonts w:ascii="Calibri" w:hAnsi="Calibri" w:cs="Calibri"/>
          <w:bCs/>
          <w:sz w:val="22"/>
          <w:szCs w:val="22"/>
        </w:rPr>
        <w:t>or support staff</w:t>
      </w:r>
      <w:r w:rsidR="0048357E" w:rsidRPr="002C0C1F">
        <w:rPr>
          <w:rFonts w:ascii="Calibri" w:hAnsi="Calibri" w:cs="Calibri"/>
          <w:bCs/>
          <w:sz w:val="22"/>
          <w:szCs w:val="22"/>
        </w:rPr>
        <w:t xml:space="preserve"> on grades 6-17</w:t>
      </w:r>
      <w:r w:rsidR="00425130" w:rsidRPr="002C0C1F">
        <w:rPr>
          <w:rFonts w:ascii="Calibri" w:hAnsi="Calibri" w:cs="Calibri"/>
          <w:bCs/>
          <w:sz w:val="22"/>
          <w:szCs w:val="22"/>
        </w:rPr>
        <w:t>: For two months and 8.89 working days at the full cost to company rate for the employee</w:t>
      </w:r>
      <w:r w:rsidR="00865548">
        <w:rPr>
          <w:rFonts w:ascii="Calibri" w:hAnsi="Calibri" w:cs="Calibri"/>
          <w:bCs/>
          <w:sz w:val="22"/>
          <w:szCs w:val="22"/>
        </w:rPr>
        <w:t xml:space="preserve"> excluding any allowances already paid in January 2012</w:t>
      </w:r>
      <w:r w:rsidR="00425130" w:rsidRPr="002C0C1F">
        <w:rPr>
          <w:rFonts w:ascii="Calibri" w:hAnsi="Calibri" w:cs="Calibri"/>
          <w:bCs/>
          <w:sz w:val="22"/>
          <w:szCs w:val="22"/>
        </w:rPr>
        <w:t xml:space="preserve">. </w:t>
      </w:r>
      <w:r w:rsidR="00F92589">
        <w:rPr>
          <w:rFonts w:ascii="Calibri" w:hAnsi="Calibri" w:cs="Calibri"/>
          <w:bCs/>
          <w:sz w:val="22"/>
          <w:szCs w:val="22"/>
        </w:rPr>
        <w:t>This</w:t>
      </w:r>
      <w:r w:rsidR="00F92589" w:rsidRPr="002C0C1F">
        <w:rPr>
          <w:rFonts w:ascii="Calibri" w:hAnsi="Calibri" w:cs="Calibri"/>
          <w:bCs/>
          <w:sz w:val="22"/>
          <w:szCs w:val="22"/>
        </w:rPr>
        <w:t xml:space="preserve"> accounts</w:t>
      </w:r>
      <w:r w:rsidR="00425130" w:rsidRPr="002C0C1F">
        <w:rPr>
          <w:rFonts w:ascii="Calibri" w:hAnsi="Calibri" w:cs="Calibri"/>
          <w:bCs/>
          <w:sz w:val="22"/>
          <w:szCs w:val="22"/>
        </w:rPr>
        <w:t xml:space="preserve"> for January 2012 as well as the R1, 000, 000 set aside for the market adjustment in 2011 but never allocated.  It was agreed that this would be used </w:t>
      </w:r>
      <w:r w:rsidR="00E040D9">
        <w:rPr>
          <w:rFonts w:ascii="Calibri" w:hAnsi="Calibri" w:cs="Calibri"/>
          <w:bCs/>
          <w:sz w:val="22"/>
          <w:szCs w:val="22"/>
        </w:rPr>
        <w:t>for back-dating of the</w:t>
      </w:r>
      <w:r w:rsidR="0048357E" w:rsidRPr="002C0C1F">
        <w:rPr>
          <w:rFonts w:ascii="Calibri" w:hAnsi="Calibri" w:cs="Calibri"/>
          <w:bCs/>
          <w:sz w:val="22"/>
          <w:szCs w:val="22"/>
        </w:rPr>
        <w:t xml:space="preserve"> adjustment.</w:t>
      </w:r>
    </w:p>
    <w:p w:rsidR="00425130" w:rsidRDefault="00425130" w:rsidP="00425130">
      <w:pPr>
        <w:tabs>
          <w:tab w:val="left" w:pos="1080"/>
        </w:tabs>
        <w:jc w:val="both"/>
        <w:rPr>
          <w:rFonts w:ascii="Calibri" w:hAnsi="Calibri" w:cs="Calibri"/>
          <w:sz w:val="22"/>
          <w:szCs w:val="22"/>
        </w:rPr>
      </w:pPr>
    </w:p>
    <w:p w:rsidR="000B018E" w:rsidRPr="00C04B34" w:rsidRDefault="000B018E" w:rsidP="00425130">
      <w:pPr>
        <w:tabs>
          <w:tab w:val="left" w:pos="1080"/>
        </w:tabs>
        <w:jc w:val="both"/>
        <w:rPr>
          <w:rFonts w:ascii="Calibri" w:hAnsi="Calibri" w:cs="Calibri"/>
          <w:sz w:val="22"/>
          <w:szCs w:val="22"/>
        </w:rPr>
      </w:pPr>
    </w:p>
    <w:p w:rsidR="00AA7CDD" w:rsidRPr="000B018E" w:rsidRDefault="00AA7CDD" w:rsidP="00AA7CDD">
      <w:pPr>
        <w:numPr>
          <w:ilvl w:val="0"/>
          <w:numId w:val="1"/>
        </w:numPr>
        <w:jc w:val="both"/>
        <w:rPr>
          <w:rFonts w:ascii="Calibri" w:hAnsi="Calibri"/>
          <w:b/>
          <w:bCs/>
          <w:sz w:val="22"/>
          <w:szCs w:val="22"/>
        </w:rPr>
      </w:pPr>
      <w:r w:rsidRPr="000B018E">
        <w:rPr>
          <w:rFonts w:ascii="Calibri" w:hAnsi="Calibri"/>
          <w:b/>
        </w:rPr>
        <w:t>HOUSING ALLOWANCE:</w:t>
      </w:r>
      <w:r w:rsidRPr="000B018E">
        <w:rPr>
          <w:rFonts w:ascii="Calibri" w:hAnsi="Calibri"/>
          <w:b/>
          <w:sz w:val="28"/>
          <w:szCs w:val="28"/>
        </w:rPr>
        <w:t xml:space="preserve"> </w:t>
      </w:r>
      <w:r w:rsidRPr="000B018E">
        <w:rPr>
          <w:rFonts w:ascii="Calibri" w:hAnsi="Calibri"/>
          <w:b/>
          <w:sz w:val="22"/>
          <w:szCs w:val="22"/>
        </w:rPr>
        <w:t>This</w:t>
      </w:r>
      <w:r w:rsidR="000B018E">
        <w:rPr>
          <w:rFonts w:ascii="Calibri" w:hAnsi="Calibri"/>
          <w:b/>
          <w:sz w:val="22"/>
          <w:szCs w:val="22"/>
        </w:rPr>
        <w:t xml:space="preserve"> applies to all permanent staff</w:t>
      </w:r>
    </w:p>
    <w:p w:rsidR="00AA7CDD" w:rsidRPr="00AA7CDD" w:rsidRDefault="00AA7CDD" w:rsidP="00AA7CDD">
      <w:pPr>
        <w:ind w:left="720"/>
        <w:jc w:val="both"/>
        <w:rPr>
          <w:rFonts w:ascii="Calibri" w:hAnsi="Calibri"/>
          <w:b/>
          <w:bCs/>
          <w:sz w:val="22"/>
          <w:szCs w:val="22"/>
        </w:rPr>
      </w:pPr>
      <w:r w:rsidRPr="00AA7CDD">
        <w:rPr>
          <w:rFonts w:ascii="Calibri" w:hAnsi="Calibri"/>
          <w:sz w:val="22"/>
          <w:szCs w:val="22"/>
        </w:rPr>
        <w:t xml:space="preserve">There shall be an increase in the housing allowance from R700 to R750 per month for all permanent staff in this collective for this period. </w:t>
      </w:r>
      <w:r w:rsidR="00865548">
        <w:rPr>
          <w:rFonts w:ascii="Calibri" w:hAnsi="Calibri"/>
          <w:sz w:val="22"/>
          <w:szCs w:val="22"/>
        </w:rPr>
        <w:t>This change will be implemented with the January 2012 payroll.</w:t>
      </w:r>
    </w:p>
    <w:p w:rsidR="00AA7CDD" w:rsidRDefault="00AA7CDD" w:rsidP="00AA7CDD">
      <w:pPr>
        <w:ind w:left="720"/>
        <w:jc w:val="both"/>
        <w:rPr>
          <w:rFonts w:ascii="Calibri" w:hAnsi="Calibri"/>
          <w:b/>
          <w:bCs/>
          <w:sz w:val="22"/>
          <w:szCs w:val="22"/>
        </w:rPr>
      </w:pPr>
    </w:p>
    <w:p w:rsidR="000B018E" w:rsidRPr="00AA7CDD" w:rsidRDefault="000B018E" w:rsidP="00AA7CDD">
      <w:pPr>
        <w:ind w:left="720"/>
        <w:jc w:val="both"/>
        <w:rPr>
          <w:rFonts w:ascii="Calibri" w:hAnsi="Calibri"/>
          <w:b/>
          <w:bCs/>
          <w:sz w:val="22"/>
          <w:szCs w:val="22"/>
        </w:rPr>
      </w:pPr>
    </w:p>
    <w:p w:rsidR="00AA7CDD" w:rsidRPr="00AA7CDD" w:rsidRDefault="00AA7CDD" w:rsidP="00AA7CDD">
      <w:pPr>
        <w:numPr>
          <w:ilvl w:val="0"/>
          <w:numId w:val="1"/>
        </w:numPr>
        <w:jc w:val="both"/>
        <w:rPr>
          <w:rFonts w:ascii="Calibri" w:hAnsi="Calibri"/>
          <w:bCs/>
          <w:sz w:val="22"/>
          <w:szCs w:val="22"/>
        </w:rPr>
      </w:pPr>
      <w:r w:rsidRPr="000B018E">
        <w:rPr>
          <w:rFonts w:ascii="Calibri" w:hAnsi="Calibri"/>
          <w:b/>
          <w:bCs/>
        </w:rPr>
        <w:t>NIGHT SHIFT ALLOWANCE:</w:t>
      </w:r>
      <w:r w:rsidRPr="00AA7CDD">
        <w:rPr>
          <w:rFonts w:ascii="Calibri" w:hAnsi="Calibri"/>
          <w:b/>
          <w:bCs/>
          <w:sz w:val="22"/>
          <w:szCs w:val="22"/>
        </w:rPr>
        <w:t xml:space="preserve">  This applies to </w:t>
      </w:r>
      <w:r>
        <w:rPr>
          <w:rFonts w:ascii="Calibri" w:hAnsi="Calibri"/>
          <w:b/>
          <w:bCs/>
          <w:sz w:val="22"/>
          <w:szCs w:val="22"/>
        </w:rPr>
        <w:t xml:space="preserve">relevant </w:t>
      </w:r>
      <w:r w:rsidR="00F83665">
        <w:rPr>
          <w:rFonts w:ascii="Calibri" w:hAnsi="Calibri"/>
          <w:b/>
          <w:bCs/>
          <w:sz w:val="22"/>
          <w:szCs w:val="22"/>
        </w:rPr>
        <w:t xml:space="preserve">Campus Protection Unit </w:t>
      </w:r>
      <w:r w:rsidR="000B018E">
        <w:rPr>
          <w:rFonts w:ascii="Calibri" w:hAnsi="Calibri"/>
          <w:b/>
          <w:bCs/>
          <w:sz w:val="22"/>
          <w:szCs w:val="22"/>
        </w:rPr>
        <w:t>staff</w:t>
      </w:r>
    </w:p>
    <w:p w:rsidR="00AA7CDD" w:rsidRPr="00AA7CDD" w:rsidRDefault="00AA7CDD" w:rsidP="00AA7CDD">
      <w:pPr>
        <w:ind w:left="720"/>
        <w:jc w:val="both"/>
        <w:rPr>
          <w:rFonts w:ascii="Calibri" w:hAnsi="Calibri"/>
          <w:bCs/>
          <w:sz w:val="22"/>
          <w:szCs w:val="22"/>
        </w:rPr>
      </w:pPr>
      <w:r w:rsidRPr="00AA7CDD">
        <w:rPr>
          <w:rFonts w:ascii="Calibri" w:hAnsi="Calibri"/>
          <w:bCs/>
          <w:sz w:val="22"/>
          <w:szCs w:val="22"/>
        </w:rPr>
        <w:t>In the case of staff on grades 1 to 5, this shall be increased from R90 per month to R120 per month inclusive of a 2012 increase. From 2013, the annual adjustment percentage on the minimum of the grade (not the market adjustment percentage increase) at the grade level of CPU guards shall automatically be applied to the night shift allowance. The night shift allowance shall only apply to Campus Protection Guards in this collective.</w:t>
      </w:r>
      <w:r>
        <w:rPr>
          <w:rFonts w:ascii="Calibri" w:hAnsi="Calibri"/>
          <w:bCs/>
          <w:sz w:val="22"/>
          <w:szCs w:val="22"/>
        </w:rPr>
        <w:t xml:space="preserve"> In the case of CPU staff at higher grades, a proportionate increase will also take place. </w:t>
      </w:r>
      <w:r w:rsidR="00865548">
        <w:rPr>
          <w:rFonts w:ascii="Calibri" w:hAnsi="Calibri"/>
          <w:bCs/>
          <w:sz w:val="22"/>
          <w:szCs w:val="22"/>
        </w:rPr>
        <w:t xml:space="preserve">This change will be implemented with the January 2012 payroll. </w:t>
      </w:r>
    </w:p>
    <w:p w:rsidR="00AA7CDD" w:rsidRDefault="00AA7CDD" w:rsidP="00AA7CDD">
      <w:pPr>
        <w:pStyle w:val="ListParagraph"/>
        <w:ind w:left="0"/>
        <w:rPr>
          <w:rFonts w:ascii="Calibri" w:hAnsi="Calibri"/>
          <w:bCs/>
          <w:sz w:val="20"/>
          <w:szCs w:val="20"/>
        </w:rPr>
      </w:pPr>
    </w:p>
    <w:p w:rsidR="000B018E" w:rsidRPr="00054198" w:rsidRDefault="000B018E" w:rsidP="00AA7CDD">
      <w:pPr>
        <w:pStyle w:val="ListParagraph"/>
        <w:ind w:left="0"/>
        <w:rPr>
          <w:rFonts w:ascii="Calibri" w:hAnsi="Calibri"/>
          <w:bCs/>
          <w:sz w:val="20"/>
          <w:szCs w:val="20"/>
        </w:rPr>
      </w:pPr>
    </w:p>
    <w:p w:rsidR="00F01B6D" w:rsidRDefault="00F01B6D" w:rsidP="00AA7CDD">
      <w:pPr>
        <w:pStyle w:val="ListParagraph"/>
        <w:numPr>
          <w:ilvl w:val="0"/>
          <w:numId w:val="1"/>
        </w:numPr>
        <w:rPr>
          <w:rFonts w:asciiTheme="minorHAnsi" w:hAnsiTheme="minorHAnsi" w:cstheme="minorHAnsi"/>
          <w:b/>
          <w:sz w:val="22"/>
          <w:szCs w:val="22"/>
        </w:rPr>
      </w:pPr>
      <w:r w:rsidRPr="000B018E">
        <w:rPr>
          <w:rFonts w:asciiTheme="minorHAnsi" w:hAnsiTheme="minorHAnsi" w:cstheme="minorHAnsi"/>
          <w:b/>
        </w:rPr>
        <w:t>ANNUAL AND MARKET ADJUSTMENT:</w:t>
      </w:r>
      <w:r>
        <w:rPr>
          <w:rFonts w:asciiTheme="minorHAnsi" w:hAnsiTheme="minorHAnsi" w:cstheme="minorHAnsi"/>
          <w:b/>
          <w:sz w:val="22"/>
          <w:szCs w:val="22"/>
        </w:rPr>
        <w:t xml:space="preserve"> This applies to all permanent staff</w:t>
      </w:r>
    </w:p>
    <w:p w:rsidR="007741AD" w:rsidRPr="007741AD" w:rsidRDefault="007741AD" w:rsidP="007741AD">
      <w:pPr>
        <w:pStyle w:val="ListParagraph"/>
        <w:rPr>
          <w:rFonts w:ascii="Calibri" w:hAnsi="Calibri"/>
          <w:sz w:val="22"/>
          <w:szCs w:val="22"/>
        </w:rPr>
      </w:pPr>
      <w:r w:rsidRPr="007741AD">
        <w:rPr>
          <w:rFonts w:ascii="Calibri" w:hAnsi="Calibri"/>
          <w:sz w:val="22"/>
          <w:szCs w:val="22"/>
        </w:rPr>
        <w:t>All numbers are quoted on pension and provident fund scales. Non-contributory fund scales will be lower because of the retirement fund implication where the employer pays the full retirement contribution of 22.5% to the retirement fund. In the case of pension and provident fund scales, the employee pays 7.5%. This impacts the basic salary.</w:t>
      </w:r>
      <w:r w:rsidR="008A640E">
        <w:rPr>
          <w:rFonts w:ascii="Calibri" w:hAnsi="Calibri"/>
          <w:sz w:val="22"/>
          <w:szCs w:val="22"/>
        </w:rPr>
        <w:t xml:space="preserve"> Only academic staff and support staff on grades 6+ are eligible to belong to the non-contributory provident fund.</w:t>
      </w:r>
    </w:p>
    <w:p w:rsidR="007741AD" w:rsidRDefault="007741AD" w:rsidP="007741AD">
      <w:pPr>
        <w:pStyle w:val="ListParagraph"/>
        <w:rPr>
          <w:rFonts w:asciiTheme="minorHAnsi" w:hAnsiTheme="minorHAnsi" w:cstheme="minorHAnsi"/>
          <w:b/>
          <w:sz w:val="22"/>
          <w:szCs w:val="22"/>
        </w:rPr>
      </w:pPr>
    </w:p>
    <w:p w:rsidR="00DE43FD" w:rsidRDefault="00DE43FD" w:rsidP="007741AD">
      <w:pPr>
        <w:pStyle w:val="ListParagraph"/>
        <w:rPr>
          <w:rFonts w:asciiTheme="minorHAnsi" w:hAnsiTheme="minorHAnsi" w:cstheme="minorHAnsi"/>
          <w:b/>
          <w:sz w:val="22"/>
          <w:szCs w:val="22"/>
        </w:rPr>
      </w:pPr>
    </w:p>
    <w:p w:rsidR="00BE7A3E" w:rsidRPr="00F01B6D" w:rsidRDefault="00BC45B2" w:rsidP="00F01B6D">
      <w:pPr>
        <w:pStyle w:val="ListParagraph"/>
        <w:rPr>
          <w:rFonts w:asciiTheme="minorHAnsi" w:hAnsiTheme="minorHAnsi" w:cstheme="minorHAnsi"/>
          <w:sz w:val="22"/>
          <w:szCs w:val="22"/>
        </w:rPr>
      </w:pPr>
      <w:r w:rsidRPr="00F01B6D">
        <w:rPr>
          <w:rFonts w:asciiTheme="minorHAnsi" w:hAnsiTheme="minorHAnsi" w:cstheme="minorHAnsi"/>
          <w:sz w:val="22"/>
          <w:szCs w:val="22"/>
        </w:rPr>
        <w:lastRenderedPageBreak/>
        <w:t>The following annual and market adjustment minimums shall apply from 1 January 2012:</w:t>
      </w:r>
    </w:p>
    <w:p w:rsidR="00E824A3" w:rsidRPr="00BC45B2" w:rsidRDefault="00E824A3" w:rsidP="00E824A3">
      <w:pPr>
        <w:rPr>
          <w:rFonts w:asciiTheme="minorHAnsi" w:hAnsiTheme="minorHAnsi" w:cstheme="minorHAnsi"/>
          <w:sz w:val="22"/>
          <w:szCs w:val="22"/>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4253"/>
      </w:tblGrid>
      <w:tr w:rsidR="00E824A3" w:rsidRPr="00BC45B2" w:rsidTr="007A3D02">
        <w:tc>
          <w:tcPr>
            <w:tcW w:w="9498" w:type="dxa"/>
            <w:gridSpan w:val="3"/>
            <w:shd w:val="clear" w:color="auto" w:fill="auto"/>
          </w:tcPr>
          <w:p w:rsidR="00E824A3" w:rsidRPr="00DE171D" w:rsidRDefault="00E824A3" w:rsidP="007A3D02">
            <w:pPr>
              <w:jc w:val="center"/>
              <w:rPr>
                <w:rFonts w:asciiTheme="minorHAnsi" w:hAnsiTheme="minorHAnsi" w:cstheme="minorHAnsi"/>
              </w:rPr>
            </w:pPr>
            <w:r w:rsidRPr="00DE171D">
              <w:rPr>
                <w:rFonts w:asciiTheme="minorHAnsi" w:hAnsiTheme="minorHAnsi" w:cstheme="minorHAnsi"/>
                <w:b/>
              </w:rPr>
              <w:t>Academic staff</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b/>
                <w:sz w:val="22"/>
                <w:szCs w:val="22"/>
              </w:rPr>
            </w:pPr>
            <w:r w:rsidRPr="00BC45B2">
              <w:rPr>
                <w:rFonts w:asciiTheme="minorHAnsi" w:hAnsiTheme="minorHAnsi" w:cstheme="minorHAnsi"/>
                <w:b/>
                <w:sz w:val="22"/>
                <w:szCs w:val="22"/>
              </w:rPr>
              <w:t>Grades</w:t>
            </w:r>
          </w:p>
        </w:tc>
        <w:tc>
          <w:tcPr>
            <w:tcW w:w="2977" w:type="dxa"/>
            <w:shd w:val="clear" w:color="auto" w:fill="auto"/>
          </w:tcPr>
          <w:p w:rsidR="00E824A3" w:rsidRPr="00DE171D" w:rsidRDefault="00E824A3" w:rsidP="007A3D02">
            <w:pPr>
              <w:pStyle w:val="ListParagraph"/>
              <w:ind w:left="0"/>
              <w:rPr>
                <w:rFonts w:asciiTheme="minorHAnsi" w:hAnsiTheme="minorHAnsi" w:cstheme="minorHAnsi"/>
                <w:b/>
                <w:sz w:val="20"/>
                <w:szCs w:val="20"/>
              </w:rPr>
            </w:pPr>
            <w:r w:rsidRPr="00DE171D">
              <w:rPr>
                <w:rFonts w:asciiTheme="minorHAnsi" w:hAnsiTheme="minorHAnsi" w:cstheme="minorHAnsi"/>
                <w:b/>
                <w:sz w:val="20"/>
                <w:szCs w:val="20"/>
              </w:rPr>
              <w:t>Rand value increase per month to apply to all individuals on that grade or post level</w:t>
            </w:r>
          </w:p>
        </w:tc>
        <w:tc>
          <w:tcPr>
            <w:tcW w:w="4253" w:type="dxa"/>
          </w:tcPr>
          <w:p w:rsidR="00E824A3" w:rsidRPr="00DE171D" w:rsidRDefault="00E824A3" w:rsidP="007A3D02">
            <w:pPr>
              <w:pStyle w:val="ListParagraph"/>
              <w:ind w:left="0"/>
              <w:rPr>
                <w:rFonts w:asciiTheme="minorHAnsi" w:hAnsiTheme="minorHAnsi" w:cstheme="minorHAnsi"/>
                <w:b/>
                <w:sz w:val="20"/>
                <w:szCs w:val="20"/>
              </w:rPr>
            </w:pPr>
            <w:r w:rsidRPr="00DE171D">
              <w:rPr>
                <w:rFonts w:asciiTheme="minorHAnsi" w:hAnsiTheme="minorHAnsi" w:cstheme="minorHAnsi"/>
                <w:b/>
                <w:sz w:val="20"/>
                <w:szCs w:val="20"/>
              </w:rPr>
              <w:t>New minimum basic salary per month per level/grade</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Junior lecturer</w:t>
            </w:r>
          </w:p>
        </w:tc>
        <w:tc>
          <w:tcPr>
            <w:tcW w:w="2977" w:type="dxa"/>
            <w:shd w:val="clear" w:color="auto" w:fill="auto"/>
            <w:vAlign w:val="bottom"/>
          </w:tcPr>
          <w:p w:rsidR="00E824A3" w:rsidRPr="00BC45B2" w:rsidRDefault="00E824A3" w:rsidP="007A3D02">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R1,050</w:t>
            </w:r>
          </w:p>
        </w:tc>
        <w:tc>
          <w:tcPr>
            <w:tcW w:w="4253" w:type="dxa"/>
            <w:vAlign w:val="bottom"/>
          </w:tcPr>
          <w:p w:rsidR="00E824A3" w:rsidRPr="00BC45B2" w:rsidRDefault="00E824A3" w:rsidP="007A3D02">
            <w:pPr>
              <w:jc w:val="right"/>
              <w:rPr>
                <w:rFonts w:asciiTheme="minorHAnsi" w:hAnsiTheme="minorHAnsi" w:cstheme="minorHAnsi"/>
                <w:sz w:val="22"/>
                <w:szCs w:val="22"/>
              </w:rPr>
            </w:pPr>
            <w:r w:rsidRPr="00BC45B2">
              <w:rPr>
                <w:rFonts w:asciiTheme="minorHAnsi" w:hAnsiTheme="minorHAnsi" w:cstheme="minorHAnsi"/>
                <w:sz w:val="22"/>
                <w:szCs w:val="22"/>
              </w:rPr>
              <w:t>R17,771</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Lecturer</w:t>
            </w:r>
          </w:p>
        </w:tc>
        <w:tc>
          <w:tcPr>
            <w:tcW w:w="2977" w:type="dxa"/>
            <w:shd w:val="clear" w:color="auto" w:fill="auto"/>
            <w:vAlign w:val="bottom"/>
          </w:tcPr>
          <w:p w:rsidR="00E824A3" w:rsidRPr="00BC45B2" w:rsidRDefault="00E824A3" w:rsidP="007A3D02">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R1,300</w:t>
            </w:r>
          </w:p>
        </w:tc>
        <w:tc>
          <w:tcPr>
            <w:tcW w:w="4253" w:type="dxa"/>
            <w:vAlign w:val="bottom"/>
          </w:tcPr>
          <w:p w:rsidR="00E824A3" w:rsidRPr="00BC45B2" w:rsidRDefault="00E824A3" w:rsidP="007A3D02">
            <w:pPr>
              <w:jc w:val="right"/>
              <w:rPr>
                <w:rFonts w:asciiTheme="minorHAnsi" w:hAnsiTheme="minorHAnsi" w:cstheme="minorHAnsi"/>
                <w:sz w:val="22"/>
                <w:szCs w:val="22"/>
              </w:rPr>
            </w:pPr>
            <w:r w:rsidRPr="00BC45B2">
              <w:rPr>
                <w:rFonts w:asciiTheme="minorHAnsi" w:hAnsiTheme="minorHAnsi" w:cstheme="minorHAnsi"/>
                <w:sz w:val="22"/>
                <w:szCs w:val="22"/>
              </w:rPr>
              <w:t>R22,560</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Senior Lecturer</w:t>
            </w:r>
          </w:p>
        </w:tc>
        <w:tc>
          <w:tcPr>
            <w:tcW w:w="2977" w:type="dxa"/>
            <w:shd w:val="clear" w:color="auto" w:fill="auto"/>
            <w:vAlign w:val="bottom"/>
          </w:tcPr>
          <w:p w:rsidR="00E824A3" w:rsidRPr="00BC45B2" w:rsidRDefault="00E824A3" w:rsidP="007A3D02">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R1,550</w:t>
            </w:r>
          </w:p>
        </w:tc>
        <w:tc>
          <w:tcPr>
            <w:tcW w:w="4253" w:type="dxa"/>
            <w:vAlign w:val="bottom"/>
          </w:tcPr>
          <w:p w:rsidR="00E824A3" w:rsidRPr="00BC45B2" w:rsidRDefault="00E824A3" w:rsidP="007A3D02">
            <w:pPr>
              <w:jc w:val="right"/>
              <w:rPr>
                <w:rFonts w:asciiTheme="minorHAnsi" w:hAnsiTheme="minorHAnsi" w:cstheme="minorHAnsi"/>
                <w:sz w:val="22"/>
                <w:szCs w:val="22"/>
              </w:rPr>
            </w:pPr>
            <w:r w:rsidRPr="00BC45B2">
              <w:rPr>
                <w:rFonts w:asciiTheme="minorHAnsi" w:hAnsiTheme="minorHAnsi" w:cstheme="minorHAnsi"/>
                <w:sz w:val="22"/>
                <w:szCs w:val="22"/>
              </w:rPr>
              <w:t>R27,259</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Associate Professor</w:t>
            </w:r>
          </w:p>
        </w:tc>
        <w:tc>
          <w:tcPr>
            <w:tcW w:w="2977" w:type="dxa"/>
            <w:shd w:val="clear" w:color="auto" w:fill="auto"/>
            <w:vAlign w:val="bottom"/>
          </w:tcPr>
          <w:p w:rsidR="00E824A3" w:rsidRPr="00BC45B2" w:rsidRDefault="00E824A3" w:rsidP="007A3D02">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R1,850</w:t>
            </w:r>
          </w:p>
        </w:tc>
        <w:tc>
          <w:tcPr>
            <w:tcW w:w="4253" w:type="dxa"/>
            <w:vAlign w:val="bottom"/>
          </w:tcPr>
          <w:p w:rsidR="00E824A3" w:rsidRPr="00BC45B2" w:rsidRDefault="00E824A3" w:rsidP="007A3D02">
            <w:pPr>
              <w:jc w:val="right"/>
              <w:rPr>
                <w:rFonts w:asciiTheme="minorHAnsi" w:hAnsiTheme="minorHAnsi" w:cstheme="minorHAnsi"/>
                <w:sz w:val="22"/>
                <w:szCs w:val="22"/>
              </w:rPr>
            </w:pPr>
            <w:r w:rsidRPr="00BC45B2">
              <w:rPr>
                <w:rFonts w:asciiTheme="minorHAnsi" w:hAnsiTheme="minorHAnsi" w:cstheme="minorHAnsi"/>
                <w:sz w:val="22"/>
                <w:szCs w:val="22"/>
              </w:rPr>
              <w:t>R32,355</w:t>
            </w:r>
          </w:p>
        </w:tc>
      </w:tr>
      <w:tr w:rsidR="00E824A3" w:rsidRPr="00BC45B2" w:rsidTr="007A3D02">
        <w:tc>
          <w:tcPr>
            <w:tcW w:w="2268" w:type="dxa"/>
            <w:shd w:val="clear" w:color="auto" w:fill="auto"/>
          </w:tcPr>
          <w:p w:rsidR="00E824A3" w:rsidRPr="00BC45B2" w:rsidRDefault="00E824A3" w:rsidP="007A3D02">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 xml:space="preserve">Professor </w:t>
            </w:r>
          </w:p>
        </w:tc>
        <w:tc>
          <w:tcPr>
            <w:tcW w:w="2977" w:type="dxa"/>
            <w:shd w:val="clear" w:color="auto" w:fill="auto"/>
            <w:vAlign w:val="bottom"/>
          </w:tcPr>
          <w:p w:rsidR="00E824A3" w:rsidRPr="00BC45B2" w:rsidRDefault="00E824A3" w:rsidP="007A3D02">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R2,150</w:t>
            </w:r>
          </w:p>
        </w:tc>
        <w:tc>
          <w:tcPr>
            <w:tcW w:w="4253" w:type="dxa"/>
            <w:vAlign w:val="bottom"/>
          </w:tcPr>
          <w:p w:rsidR="00E824A3" w:rsidRPr="00BC45B2" w:rsidRDefault="00E824A3" w:rsidP="007A3D02">
            <w:pPr>
              <w:jc w:val="right"/>
              <w:rPr>
                <w:rFonts w:asciiTheme="minorHAnsi" w:hAnsiTheme="minorHAnsi" w:cstheme="minorHAnsi"/>
                <w:sz w:val="22"/>
                <w:szCs w:val="22"/>
              </w:rPr>
            </w:pPr>
            <w:r w:rsidRPr="00BC45B2">
              <w:rPr>
                <w:rFonts w:asciiTheme="minorHAnsi" w:hAnsiTheme="minorHAnsi" w:cstheme="minorHAnsi"/>
                <w:sz w:val="22"/>
                <w:szCs w:val="22"/>
              </w:rPr>
              <w:t>R38,116</w:t>
            </w:r>
          </w:p>
        </w:tc>
      </w:tr>
    </w:tbl>
    <w:p w:rsidR="00E824A3" w:rsidRPr="00511F60" w:rsidRDefault="00E824A3" w:rsidP="00E824A3">
      <w:pPr>
        <w:rPr>
          <w:rFonts w:asciiTheme="minorHAnsi" w:hAnsiTheme="minorHAnsi" w:cstheme="minorHAnsi"/>
          <w:sz w:val="16"/>
          <w:szCs w:val="16"/>
        </w:rPr>
      </w:pPr>
    </w:p>
    <w:p w:rsidR="00BE7A3E" w:rsidRPr="00BC45B2" w:rsidRDefault="00BE7A3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115"/>
        <w:gridCol w:w="4253"/>
      </w:tblGrid>
      <w:tr w:rsidR="009848D1" w:rsidRPr="00BC45B2" w:rsidTr="00DE171D">
        <w:tc>
          <w:tcPr>
            <w:tcW w:w="9498" w:type="dxa"/>
            <w:gridSpan w:val="3"/>
            <w:shd w:val="clear" w:color="auto" w:fill="auto"/>
          </w:tcPr>
          <w:p w:rsidR="009848D1" w:rsidRPr="00DE171D" w:rsidRDefault="009848D1" w:rsidP="009848D1">
            <w:pPr>
              <w:pStyle w:val="ListParagraph"/>
              <w:ind w:left="0"/>
              <w:jc w:val="center"/>
              <w:rPr>
                <w:rFonts w:asciiTheme="minorHAnsi" w:hAnsiTheme="minorHAnsi" w:cstheme="minorHAnsi"/>
                <w:b/>
              </w:rPr>
            </w:pPr>
            <w:r w:rsidRPr="00DE171D">
              <w:rPr>
                <w:rFonts w:asciiTheme="minorHAnsi" w:hAnsiTheme="minorHAnsi" w:cstheme="minorHAnsi"/>
                <w:b/>
              </w:rPr>
              <w:t>Support Staff</w:t>
            </w:r>
          </w:p>
        </w:tc>
      </w:tr>
      <w:tr w:rsidR="009848D1" w:rsidRPr="00BC45B2" w:rsidTr="00DE171D">
        <w:tc>
          <w:tcPr>
            <w:tcW w:w="1130" w:type="dxa"/>
            <w:shd w:val="clear" w:color="auto" w:fill="auto"/>
          </w:tcPr>
          <w:p w:rsidR="009848D1" w:rsidRPr="000B018E" w:rsidRDefault="009848D1" w:rsidP="00EE0A1F">
            <w:pPr>
              <w:pStyle w:val="ListParagraph"/>
              <w:ind w:left="0"/>
              <w:rPr>
                <w:rFonts w:asciiTheme="minorHAnsi" w:hAnsiTheme="minorHAnsi" w:cstheme="minorHAnsi"/>
                <w:b/>
                <w:sz w:val="20"/>
                <w:szCs w:val="20"/>
              </w:rPr>
            </w:pPr>
            <w:r w:rsidRPr="000B018E">
              <w:rPr>
                <w:rFonts w:asciiTheme="minorHAnsi" w:hAnsiTheme="minorHAnsi" w:cstheme="minorHAnsi"/>
                <w:b/>
                <w:sz w:val="20"/>
                <w:szCs w:val="20"/>
              </w:rPr>
              <w:t>Grades</w:t>
            </w:r>
          </w:p>
        </w:tc>
        <w:tc>
          <w:tcPr>
            <w:tcW w:w="4115" w:type="dxa"/>
            <w:shd w:val="clear" w:color="auto" w:fill="auto"/>
          </w:tcPr>
          <w:p w:rsidR="009848D1" w:rsidRPr="000B018E" w:rsidRDefault="00A402E8" w:rsidP="00EE0A1F">
            <w:pPr>
              <w:pStyle w:val="ListParagraph"/>
              <w:ind w:left="0"/>
              <w:rPr>
                <w:rFonts w:asciiTheme="minorHAnsi" w:hAnsiTheme="minorHAnsi" w:cstheme="minorHAnsi"/>
                <w:b/>
                <w:sz w:val="20"/>
                <w:szCs w:val="20"/>
              </w:rPr>
            </w:pPr>
            <w:r w:rsidRPr="000B018E">
              <w:rPr>
                <w:rFonts w:asciiTheme="minorHAnsi" w:hAnsiTheme="minorHAnsi" w:cstheme="minorHAnsi"/>
                <w:b/>
                <w:sz w:val="20"/>
                <w:szCs w:val="20"/>
              </w:rPr>
              <w:t>Rand value increase per month</w:t>
            </w:r>
            <w:r w:rsidR="009848D1" w:rsidRPr="000B018E">
              <w:rPr>
                <w:rFonts w:asciiTheme="minorHAnsi" w:hAnsiTheme="minorHAnsi" w:cstheme="minorHAnsi"/>
                <w:b/>
                <w:sz w:val="20"/>
                <w:szCs w:val="20"/>
              </w:rPr>
              <w:t xml:space="preserve"> to apply to all individuals on that grade or post level</w:t>
            </w:r>
            <w:r w:rsidR="00BC45B2" w:rsidRPr="000B018E">
              <w:rPr>
                <w:rFonts w:asciiTheme="minorHAnsi" w:hAnsiTheme="minorHAnsi" w:cstheme="minorHAnsi"/>
                <w:b/>
                <w:sz w:val="20"/>
                <w:szCs w:val="20"/>
              </w:rPr>
              <w:t xml:space="preserve"> (this is the annual adjustment component of the settlement)</w:t>
            </w:r>
            <w:r w:rsidR="009E02C5">
              <w:rPr>
                <w:rFonts w:asciiTheme="minorHAnsi" w:hAnsiTheme="minorHAnsi" w:cstheme="minorHAnsi"/>
                <w:b/>
                <w:sz w:val="20"/>
                <w:szCs w:val="20"/>
              </w:rPr>
              <w:t xml:space="preserve"> quoted on the pension and provident fund scales</w:t>
            </w:r>
          </w:p>
        </w:tc>
        <w:tc>
          <w:tcPr>
            <w:tcW w:w="4253" w:type="dxa"/>
          </w:tcPr>
          <w:p w:rsidR="00BC45B2" w:rsidRPr="000B018E" w:rsidRDefault="009848D1" w:rsidP="00EE0A1F">
            <w:pPr>
              <w:pStyle w:val="ListParagraph"/>
              <w:ind w:left="0"/>
              <w:rPr>
                <w:rFonts w:asciiTheme="minorHAnsi" w:hAnsiTheme="minorHAnsi" w:cstheme="minorHAnsi"/>
                <w:b/>
                <w:sz w:val="20"/>
                <w:szCs w:val="20"/>
              </w:rPr>
            </w:pPr>
            <w:r w:rsidRPr="000B018E">
              <w:rPr>
                <w:rFonts w:asciiTheme="minorHAnsi" w:hAnsiTheme="minorHAnsi" w:cstheme="minorHAnsi"/>
                <w:b/>
                <w:sz w:val="20"/>
                <w:szCs w:val="20"/>
              </w:rPr>
              <w:t>Ne</w:t>
            </w:r>
            <w:r w:rsidR="00A402E8" w:rsidRPr="000B018E">
              <w:rPr>
                <w:rFonts w:asciiTheme="minorHAnsi" w:hAnsiTheme="minorHAnsi" w:cstheme="minorHAnsi"/>
                <w:b/>
                <w:sz w:val="20"/>
                <w:szCs w:val="20"/>
              </w:rPr>
              <w:t>w minimum basic salary per month</w:t>
            </w:r>
            <w:r w:rsidRPr="000B018E">
              <w:rPr>
                <w:rFonts w:asciiTheme="minorHAnsi" w:hAnsiTheme="minorHAnsi" w:cstheme="minorHAnsi"/>
                <w:b/>
                <w:sz w:val="20"/>
                <w:szCs w:val="20"/>
              </w:rPr>
              <w:t xml:space="preserve"> per level/grade</w:t>
            </w:r>
            <w:r w:rsidR="00A402E8" w:rsidRPr="000B018E">
              <w:rPr>
                <w:rFonts w:asciiTheme="minorHAnsi" w:hAnsiTheme="minorHAnsi" w:cstheme="minorHAnsi"/>
                <w:b/>
                <w:sz w:val="20"/>
                <w:szCs w:val="20"/>
              </w:rPr>
              <w:t xml:space="preserve"> inclusive of long leave</w:t>
            </w:r>
            <w:r w:rsidR="0059514C">
              <w:rPr>
                <w:rFonts w:asciiTheme="minorHAnsi" w:hAnsiTheme="minorHAnsi" w:cstheme="minorHAnsi"/>
                <w:b/>
                <w:sz w:val="20"/>
                <w:szCs w:val="20"/>
              </w:rPr>
              <w:t xml:space="preserve"> quoted on the </w:t>
            </w:r>
            <w:r w:rsidR="00844A18">
              <w:rPr>
                <w:rFonts w:asciiTheme="minorHAnsi" w:hAnsiTheme="minorHAnsi" w:cstheme="minorHAnsi"/>
                <w:b/>
                <w:sz w:val="20"/>
                <w:szCs w:val="20"/>
              </w:rPr>
              <w:t xml:space="preserve">pension and </w:t>
            </w:r>
            <w:r w:rsidR="0059514C">
              <w:rPr>
                <w:rFonts w:asciiTheme="minorHAnsi" w:hAnsiTheme="minorHAnsi" w:cstheme="minorHAnsi"/>
                <w:b/>
                <w:sz w:val="20"/>
                <w:szCs w:val="20"/>
              </w:rPr>
              <w:t>provident fund scale</w:t>
            </w:r>
            <w:r w:rsidR="00844A18">
              <w:rPr>
                <w:rFonts w:asciiTheme="minorHAnsi" w:hAnsiTheme="minorHAnsi" w:cstheme="minorHAnsi"/>
                <w:b/>
                <w:sz w:val="20"/>
                <w:szCs w:val="20"/>
              </w:rPr>
              <w:t>s</w:t>
            </w:r>
          </w:p>
          <w:p w:rsidR="009848D1" w:rsidRPr="000B018E" w:rsidRDefault="00BC45B2" w:rsidP="00EE0A1F">
            <w:pPr>
              <w:pStyle w:val="ListParagraph"/>
              <w:ind w:left="0"/>
              <w:rPr>
                <w:rFonts w:asciiTheme="minorHAnsi" w:hAnsiTheme="minorHAnsi" w:cstheme="minorHAnsi"/>
                <w:b/>
                <w:sz w:val="20"/>
                <w:szCs w:val="20"/>
              </w:rPr>
            </w:pPr>
            <w:r w:rsidRPr="000B018E">
              <w:rPr>
                <w:rFonts w:asciiTheme="minorHAnsi" w:hAnsiTheme="minorHAnsi" w:cstheme="minorHAnsi"/>
                <w:b/>
                <w:sz w:val="20"/>
                <w:szCs w:val="20"/>
              </w:rPr>
              <w:t>(long leave does not apply to grades 1 to 5)</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Pr>
                <w:rFonts w:asciiTheme="minorHAnsi" w:hAnsiTheme="minorHAnsi" w:cstheme="minorHAnsi"/>
                <w:sz w:val="22"/>
                <w:szCs w:val="22"/>
              </w:rPr>
              <w:t>1</w:t>
            </w:r>
          </w:p>
        </w:tc>
        <w:tc>
          <w:tcPr>
            <w:tcW w:w="4115" w:type="dxa"/>
            <w:shd w:val="clear" w:color="auto" w:fill="auto"/>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R305</w:t>
            </w:r>
          </w:p>
        </w:tc>
        <w:tc>
          <w:tcPr>
            <w:tcW w:w="4253" w:type="dxa"/>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R4,170</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Pr>
                <w:rFonts w:asciiTheme="minorHAnsi" w:hAnsiTheme="minorHAnsi" w:cstheme="minorHAnsi"/>
                <w:sz w:val="22"/>
                <w:szCs w:val="22"/>
              </w:rPr>
              <w:t>2</w:t>
            </w:r>
          </w:p>
        </w:tc>
        <w:tc>
          <w:tcPr>
            <w:tcW w:w="4115" w:type="dxa"/>
            <w:shd w:val="clear" w:color="auto" w:fill="auto"/>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R315</w:t>
            </w:r>
          </w:p>
        </w:tc>
        <w:tc>
          <w:tcPr>
            <w:tcW w:w="4253" w:type="dxa"/>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R4,529</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Pr>
                <w:rFonts w:asciiTheme="minorHAnsi" w:hAnsiTheme="minorHAnsi" w:cstheme="minorHAnsi"/>
                <w:sz w:val="22"/>
                <w:szCs w:val="22"/>
              </w:rPr>
              <w:t>3</w:t>
            </w:r>
          </w:p>
        </w:tc>
        <w:tc>
          <w:tcPr>
            <w:tcW w:w="4115" w:type="dxa"/>
            <w:shd w:val="clear" w:color="auto" w:fill="auto"/>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R340</w:t>
            </w:r>
          </w:p>
        </w:tc>
        <w:tc>
          <w:tcPr>
            <w:tcW w:w="4253" w:type="dxa"/>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R4,861</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Pr>
                <w:rFonts w:asciiTheme="minorHAnsi" w:hAnsiTheme="minorHAnsi" w:cstheme="minorHAnsi"/>
                <w:sz w:val="22"/>
                <w:szCs w:val="22"/>
              </w:rPr>
              <w:t>4</w:t>
            </w:r>
          </w:p>
        </w:tc>
        <w:tc>
          <w:tcPr>
            <w:tcW w:w="4115" w:type="dxa"/>
            <w:shd w:val="clear" w:color="auto" w:fill="auto"/>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R390</w:t>
            </w:r>
          </w:p>
        </w:tc>
        <w:tc>
          <w:tcPr>
            <w:tcW w:w="4253" w:type="dxa"/>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R5,560</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Pr>
                <w:rFonts w:asciiTheme="minorHAnsi" w:hAnsiTheme="minorHAnsi" w:cstheme="minorHAnsi"/>
                <w:sz w:val="22"/>
                <w:szCs w:val="22"/>
              </w:rPr>
              <w:t>5</w:t>
            </w:r>
          </w:p>
        </w:tc>
        <w:tc>
          <w:tcPr>
            <w:tcW w:w="4115" w:type="dxa"/>
            <w:shd w:val="clear" w:color="auto" w:fill="auto"/>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R440</w:t>
            </w:r>
          </w:p>
        </w:tc>
        <w:tc>
          <w:tcPr>
            <w:tcW w:w="4253" w:type="dxa"/>
            <w:vAlign w:val="bottom"/>
          </w:tcPr>
          <w:p w:rsidR="0059514C" w:rsidRDefault="0059514C">
            <w:pPr>
              <w:jc w:val="right"/>
              <w:rPr>
                <w:rFonts w:ascii="Calibri" w:hAnsi="Calibri" w:cs="Calibri"/>
                <w:color w:val="000000"/>
                <w:sz w:val="22"/>
                <w:szCs w:val="22"/>
              </w:rPr>
            </w:pPr>
            <w:r>
              <w:rPr>
                <w:rFonts w:ascii="Calibri" w:hAnsi="Calibri" w:cs="Calibri"/>
                <w:color w:val="000000"/>
                <w:sz w:val="22"/>
                <w:szCs w:val="22"/>
              </w:rPr>
              <w:t>R6,296</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6</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R410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R7,281</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7</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R460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R8,435</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8</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R530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R9,784</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9</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R610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R11,348</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10</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R700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R12,825</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11</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R800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R14,872</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12</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R920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R17,247</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13</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R1,060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R20,002</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14</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R1,210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R22,301</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15</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R1,375</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R25,850</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16</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R1,560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R29,964</w:t>
            </w:r>
          </w:p>
        </w:tc>
      </w:tr>
      <w:tr w:rsidR="0059514C" w:rsidRPr="00BC45B2" w:rsidTr="00DE171D">
        <w:tc>
          <w:tcPr>
            <w:tcW w:w="1130" w:type="dxa"/>
            <w:shd w:val="clear" w:color="auto" w:fill="auto"/>
          </w:tcPr>
          <w:p w:rsidR="0059514C" w:rsidRPr="00BC45B2" w:rsidRDefault="0059514C" w:rsidP="00EE0A1F">
            <w:pPr>
              <w:pStyle w:val="ListParagraph"/>
              <w:ind w:left="0"/>
              <w:rPr>
                <w:rFonts w:asciiTheme="minorHAnsi" w:hAnsiTheme="minorHAnsi" w:cstheme="minorHAnsi"/>
                <w:sz w:val="22"/>
                <w:szCs w:val="22"/>
              </w:rPr>
            </w:pPr>
            <w:r w:rsidRPr="00BC45B2">
              <w:rPr>
                <w:rFonts w:asciiTheme="minorHAnsi" w:hAnsiTheme="minorHAnsi" w:cstheme="minorHAnsi"/>
                <w:sz w:val="22"/>
                <w:szCs w:val="22"/>
              </w:rPr>
              <w:t>17</w:t>
            </w:r>
          </w:p>
        </w:tc>
        <w:tc>
          <w:tcPr>
            <w:tcW w:w="4115" w:type="dxa"/>
            <w:shd w:val="clear" w:color="auto" w:fill="auto"/>
            <w:vAlign w:val="bottom"/>
          </w:tcPr>
          <w:p w:rsidR="0059514C" w:rsidRPr="00BC45B2" w:rsidRDefault="0059514C">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R1,790</w:t>
            </w:r>
          </w:p>
        </w:tc>
        <w:tc>
          <w:tcPr>
            <w:tcW w:w="4253" w:type="dxa"/>
            <w:vAlign w:val="bottom"/>
          </w:tcPr>
          <w:p w:rsidR="0059514C" w:rsidRPr="00BC45B2" w:rsidRDefault="0059514C" w:rsidP="00EE0A1F">
            <w:pPr>
              <w:jc w:val="right"/>
              <w:rPr>
                <w:rFonts w:asciiTheme="minorHAnsi" w:hAnsiTheme="minorHAnsi" w:cstheme="minorHAnsi"/>
                <w:color w:val="000000"/>
                <w:sz w:val="22"/>
                <w:szCs w:val="22"/>
              </w:rPr>
            </w:pPr>
            <w:r w:rsidRPr="00BC45B2">
              <w:rPr>
                <w:rFonts w:asciiTheme="minorHAnsi" w:hAnsiTheme="minorHAnsi" w:cstheme="minorHAnsi"/>
                <w:color w:val="000000"/>
                <w:sz w:val="22"/>
                <w:szCs w:val="22"/>
              </w:rPr>
              <w:t>R34,743</w:t>
            </w:r>
          </w:p>
        </w:tc>
      </w:tr>
    </w:tbl>
    <w:p w:rsidR="009848D1" w:rsidRDefault="009848D1" w:rsidP="00E824A3">
      <w:pPr>
        <w:rPr>
          <w:rFonts w:asciiTheme="minorHAnsi" w:hAnsiTheme="minorHAnsi" w:cstheme="minorHAnsi"/>
          <w:sz w:val="22"/>
          <w:szCs w:val="22"/>
        </w:rPr>
      </w:pPr>
    </w:p>
    <w:p w:rsidR="00C02B94" w:rsidRDefault="00C02B94" w:rsidP="00E824A3">
      <w:pPr>
        <w:rPr>
          <w:rFonts w:asciiTheme="minorHAnsi" w:hAnsiTheme="minorHAnsi" w:cstheme="minorHAnsi"/>
          <w:sz w:val="22"/>
          <w:szCs w:val="22"/>
        </w:rPr>
      </w:pPr>
      <w:r>
        <w:rPr>
          <w:rFonts w:asciiTheme="minorHAnsi" w:hAnsiTheme="minorHAnsi" w:cstheme="minorHAnsi"/>
          <w:sz w:val="22"/>
          <w:szCs w:val="22"/>
        </w:rPr>
        <w:t>As is always the case, each staff member will receive a letter indicating t</w:t>
      </w:r>
      <w:r w:rsidR="0007201A">
        <w:rPr>
          <w:rFonts w:asciiTheme="minorHAnsi" w:hAnsiTheme="minorHAnsi" w:cstheme="minorHAnsi"/>
          <w:sz w:val="22"/>
          <w:szCs w:val="22"/>
        </w:rPr>
        <w:t>heir new levels of remuneration towards the end of February 2012.</w:t>
      </w:r>
      <w:r w:rsidR="00B61FEA">
        <w:rPr>
          <w:rFonts w:asciiTheme="minorHAnsi" w:hAnsiTheme="minorHAnsi" w:cstheme="minorHAnsi"/>
          <w:sz w:val="22"/>
          <w:szCs w:val="22"/>
        </w:rPr>
        <w:t xml:space="preserve"> If you have any queries related to your remuneration, please contact your HR Generalist for your Faculty or work area.</w:t>
      </w:r>
    </w:p>
    <w:p w:rsidR="001930D6" w:rsidRPr="00054198" w:rsidRDefault="001930D6" w:rsidP="001930D6">
      <w:pPr>
        <w:pStyle w:val="ListParagraph"/>
        <w:ind w:left="0"/>
        <w:rPr>
          <w:rFonts w:ascii="Calibri" w:hAnsi="Calibri"/>
          <w:bCs/>
          <w:sz w:val="20"/>
          <w:szCs w:val="20"/>
        </w:rPr>
      </w:pPr>
    </w:p>
    <w:p w:rsidR="001930D6" w:rsidRPr="00A87D2E" w:rsidRDefault="001930D6" w:rsidP="00E824A3">
      <w:pPr>
        <w:pStyle w:val="ListParagraph"/>
        <w:numPr>
          <w:ilvl w:val="0"/>
          <w:numId w:val="1"/>
        </w:numPr>
        <w:rPr>
          <w:rFonts w:asciiTheme="minorHAnsi" w:hAnsiTheme="minorHAnsi" w:cstheme="minorHAnsi"/>
          <w:sz w:val="22"/>
          <w:szCs w:val="22"/>
        </w:rPr>
      </w:pPr>
      <w:r w:rsidRPr="00A87D2E">
        <w:rPr>
          <w:rFonts w:asciiTheme="minorHAnsi" w:hAnsiTheme="minorHAnsi" w:cstheme="minorHAnsi"/>
          <w:b/>
        </w:rPr>
        <w:t>SCARCITY ALLOWANCES FOR SUPPORT STAFF:</w:t>
      </w:r>
      <w:r w:rsidRPr="00A87D2E">
        <w:rPr>
          <w:rFonts w:asciiTheme="minorHAnsi" w:hAnsiTheme="minorHAnsi" w:cstheme="minorHAnsi"/>
          <w:b/>
          <w:sz w:val="22"/>
          <w:szCs w:val="22"/>
        </w:rPr>
        <w:t xml:space="preserve"> </w:t>
      </w:r>
    </w:p>
    <w:p w:rsidR="00A87D2E" w:rsidRDefault="00A87D2E" w:rsidP="007D0998">
      <w:pPr>
        <w:ind w:left="720"/>
        <w:rPr>
          <w:rFonts w:asciiTheme="minorHAnsi" w:hAnsiTheme="minorHAnsi" w:cstheme="minorHAnsi"/>
          <w:sz w:val="22"/>
          <w:szCs w:val="22"/>
        </w:rPr>
      </w:pPr>
      <w:r>
        <w:rPr>
          <w:rFonts w:asciiTheme="minorHAnsi" w:hAnsiTheme="minorHAnsi" w:cstheme="minorHAnsi"/>
          <w:sz w:val="22"/>
          <w:szCs w:val="22"/>
        </w:rPr>
        <w:t>There shall be a review of scarcity allowances for support staff in early 2012. As a result, these allowances will not be increased or decreased until such time as the review is completed. All staff receiving scarcity allowances have been advised thereof already.</w:t>
      </w:r>
    </w:p>
    <w:p w:rsidR="00A87D2E" w:rsidRDefault="00A87D2E" w:rsidP="00A87D2E">
      <w:pPr>
        <w:ind w:left="360"/>
        <w:rPr>
          <w:rFonts w:asciiTheme="minorHAnsi" w:hAnsiTheme="minorHAnsi" w:cstheme="minorHAnsi"/>
          <w:sz w:val="22"/>
          <w:szCs w:val="22"/>
        </w:rPr>
      </w:pPr>
    </w:p>
    <w:p w:rsidR="001E5573" w:rsidRPr="001E5573" w:rsidRDefault="001E5573" w:rsidP="001E5573">
      <w:pPr>
        <w:pStyle w:val="ListParagraph"/>
        <w:numPr>
          <w:ilvl w:val="0"/>
          <w:numId w:val="1"/>
        </w:numPr>
        <w:rPr>
          <w:rFonts w:asciiTheme="minorHAnsi" w:hAnsiTheme="minorHAnsi" w:cstheme="minorHAnsi"/>
          <w:b/>
          <w:sz w:val="22"/>
          <w:szCs w:val="22"/>
        </w:rPr>
      </w:pPr>
      <w:r w:rsidRPr="001E5573">
        <w:rPr>
          <w:rFonts w:asciiTheme="minorHAnsi" w:hAnsiTheme="minorHAnsi" w:cstheme="minorHAnsi"/>
          <w:b/>
          <w:sz w:val="22"/>
          <w:szCs w:val="22"/>
        </w:rPr>
        <w:t>SALARY ADJUSTMENT DATES FOR OTHER STAFF</w:t>
      </w:r>
    </w:p>
    <w:p w:rsidR="001E5573" w:rsidRDefault="001E5573" w:rsidP="001E5573">
      <w:pPr>
        <w:pStyle w:val="PlainText"/>
        <w:numPr>
          <w:ilvl w:val="1"/>
          <w:numId w:val="1"/>
        </w:numPr>
      </w:pPr>
      <w:r>
        <w:t xml:space="preserve">All </w:t>
      </w:r>
      <w:r w:rsidR="007D0998">
        <w:t xml:space="preserve">fixed term </w:t>
      </w:r>
      <w:r>
        <w:t>contracts t</w:t>
      </w:r>
      <w:r w:rsidR="007D0998">
        <w:t>hat are for MORE THAN one year (this does not refer to contracts which are initially one year or less and then renewed</w:t>
      </w:r>
      <w:r>
        <w:t>), will be increased at the time of the permanent staff annual adjustment;</w:t>
      </w:r>
      <w:r w:rsidR="007D0998">
        <w:t xml:space="preserve"> and</w:t>
      </w:r>
    </w:p>
    <w:p w:rsidR="00511F60" w:rsidRDefault="001E5573" w:rsidP="00511F60">
      <w:pPr>
        <w:pStyle w:val="PlainText"/>
        <w:numPr>
          <w:ilvl w:val="1"/>
          <w:numId w:val="1"/>
        </w:numPr>
      </w:pPr>
      <w:r>
        <w:t xml:space="preserve">All contracts of one year or less, without exception, even if the renewal date is coming up in January or February </w:t>
      </w:r>
      <w:r w:rsidR="00DE4E02">
        <w:t>will only be adjusted in March.</w:t>
      </w:r>
    </w:p>
    <w:p w:rsidR="00DE4E02" w:rsidRDefault="00DE4E02" w:rsidP="00DE4E02">
      <w:pPr>
        <w:pStyle w:val="PlainText"/>
        <w:ind w:left="1440"/>
      </w:pPr>
    </w:p>
    <w:p w:rsidR="00511F60" w:rsidRDefault="00511F60" w:rsidP="00511F60">
      <w:pPr>
        <w:pStyle w:val="PlainText"/>
        <w:jc w:val="right"/>
        <w:rPr>
          <w:b/>
          <w:sz w:val="20"/>
          <w:szCs w:val="20"/>
        </w:rPr>
      </w:pPr>
      <w:r>
        <w:rPr>
          <w:b/>
          <w:sz w:val="20"/>
          <w:szCs w:val="20"/>
        </w:rPr>
        <w:t>Written: Director: HR after consultation with both unions</w:t>
      </w:r>
    </w:p>
    <w:p w:rsidR="00511F60" w:rsidRPr="00511F60" w:rsidRDefault="00511F60" w:rsidP="00511F60">
      <w:pPr>
        <w:pStyle w:val="PlainText"/>
        <w:jc w:val="right"/>
        <w:rPr>
          <w:b/>
          <w:sz w:val="20"/>
          <w:szCs w:val="20"/>
        </w:rPr>
      </w:pPr>
      <w:r w:rsidRPr="00511F60">
        <w:rPr>
          <w:b/>
          <w:sz w:val="20"/>
          <w:szCs w:val="20"/>
        </w:rPr>
        <w:t>Last updated: 13 December 2011</w:t>
      </w:r>
    </w:p>
    <w:sectPr w:rsidR="00511F60" w:rsidRPr="00511F60" w:rsidSect="000B018E">
      <w:pgSz w:w="11906" w:h="16838"/>
      <w:pgMar w:top="851" w:right="794" w:bottom="72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0DD"/>
    <w:multiLevelType w:val="hybridMultilevel"/>
    <w:tmpl w:val="C8A87BF4"/>
    <w:lvl w:ilvl="0" w:tplc="6C100A7C">
      <w:start w:val="1"/>
      <w:numFmt w:val="decimal"/>
      <w:lvlText w:val="%1."/>
      <w:lvlJc w:val="left"/>
      <w:pPr>
        <w:ind w:left="720" w:hanging="360"/>
      </w:pPr>
      <w:rPr>
        <w:rFonts w:ascii="Calibri" w:eastAsia="Times New Roman" w:hAnsi="Calibri" w:cs="Calibr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8BC64CD"/>
    <w:multiLevelType w:val="hybridMultilevel"/>
    <w:tmpl w:val="E2BE2A48"/>
    <w:lvl w:ilvl="0" w:tplc="6C100A7C">
      <w:start w:val="1"/>
      <w:numFmt w:val="decimal"/>
      <w:lvlText w:val="%1."/>
      <w:lvlJc w:val="left"/>
      <w:pPr>
        <w:ind w:left="720" w:hanging="360"/>
      </w:pPr>
      <w:rPr>
        <w:rFonts w:ascii="Calibri" w:eastAsia="Times New Roman" w:hAnsi="Calibri" w:cs="Calibr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EBA2B20"/>
    <w:multiLevelType w:val="hybridMultilevel"/>
    <w:tmpl w:val="5D8C20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D1"/>
    <w:rsid w:val="0007201A"/>
    <w:rsid w:val="000B018E"/>
    <w:rsid w:val="001930D6"/>
    <w:rsid w:val="001E5573"/>
    <w:rsid w:val="00245950"/>
    <w:rsid w:val="002C0C1F"/>
    <w:rsid w:val="002D3D97"/>
    <w:rsid w:val="003D5587"/>
    <w:rsid w:val="003E5024"/>
    <w:rsid w:val="00425130"/>
    <w:rsid w:val="0048357E"/>
    <w:rsid w:val="00511F60"/>
    <w:rsid w:val="0058257D"/>
    <w:rsid w:val="0059514C"/>
    <w:rsid w:val="00684738"/>
    <w:rsid w:val="007741AD"/>
    <w:rsid w:val="007D0998"/>
    <w:rsid w:val="00844A18"/>
    <w:rsid w:val="00865548"/>
    <w:rsid w:val="008A640E"/>
    <w:rsid w:val="00945A37"/>
    <w:rsid w:val="009848D1"/>
    <w:rsid w:val="009E02C5"/>
    <w:rsid w:val="00A402E8"/>
    <w:rsid w:val="00A87D2E"/>
    <w:rsid w:val="00AA7CDD"/>
    <w:rsid w:val="00AE7A4C"/>
    <w:rsid w:val="00B61FEA"/>
    <w:rsid w:val="00BC45B2"/>
    <w:rsid w:val="00BE7A3E"/>
    <w:rsid w:val="00C02B94"/>
    <w:rsid w:val="00C71F8C"/>
    <w:rsid w:val="00D12138"/>
    <w:rsid w:val="00DE171D"/>
    <w:rsid w:val="00DE43FD"/>
    <w:rsid w:val="00DE4E02"/>
    <w:rsid w:val="00E040D9"/>
    <w:rsid w:val="00E824A3"/>
    <w:rsid w:val="00EB5F21"/>
    <w:rsid w:val="00F01B6D"/>
    <w:rsid w:val="00F07B60"/>
    <w:rsid w:val="00F83665"/>
    <w:rsid w:val="00F9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D1"/>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8D1"/>
    <w:pPr>
      <w:ind w:left="720"/>
    </w:pPr>
  </w:style>
  <w:style w:type="paragraph" w:styleId="PlainText">
    <w:name w:val="Plain Text"/>
    <w:basedOn w:val="Normal"/>
    <w:link w:val="PlainTextChar"/>
    <w:uiPriority w:val="99"/>
    <w:unhideWhenUsed/>
    <w:rsid w:val="001E5573"/>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E557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D1"/>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8D1"/>
    <w:pPr>
      <w:ind w:left="720"/>
    </w:pPr>
  </w:style>
  <w:style w:type="paragraph" w:styleId="PlainText">
    <w:name w:val="Plain Text"/>
    <w:basedOn w:val="Normal"/>
    <w:link w:val="PlainTextChar"/>
    <w:uiPriority w:val="99"/>
    <w:unhideWhenUsed/>
    <w:rsid w:val="001E5573"/>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E55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cp:lastModifiedBy>Rhodes</cp:lastModifiedBy>
  <cp:revision>2</cp:revision>
  <dcterms:created xsi:type="dcterms:W3CDTF">2013-04-16T06:51:00Z</dcterms:created>
  <dcterms:modified xsi:type="dcterms:W3CDTF">2013-04-16T06:51:00Z</dcterms:modified>
</cp:coreProperties>
</file>