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D1" w:rsidRPr="00597571" w:rsidRDefault="00DF44D1" w:rsidP="00DB52AD">
      <w:pPr>
        <w:jc w:val="right"/>
        <w:rPr>
          <w:rFonts w:asciiTheme="minorHAnsi" w:hAnsiTheme="minorHAnsi"/>
          <w:b/>
          <w:sz w:val="28"/>
          <w:szCs w:val="28"/>
        </w:rPr>
      </w:pPr>
      <w:bookmarkStart w:id="0" w:name="_GoBack"/>
      <w:bookmarkEnd w:id="0"/>
      <w:r w:rsidRPr="00597571">
        <w:rPr>
          <w:noProof/>
          <w:sz w:val="28"/>
          <w:szCs w:val="28"/>
          <w:lang w:val="en-US" w:eastAsia="en-US"/>
        </w:rPr>
        <w:drawing>
          <wp:anchor distT="0" distB="0" distL="114300" distR="114300" simplePos="0" relativeHeight="251662336" behindDoc="1" locked="0" layoutInCell="1" allowOverlap="1" wp14:anchorId="599E2804" wp14:editId="2371F42D">
            <wp:simplePos x="0" y="0"/>
            <wp:positionH relativeFrom="column">
              <wp:posOffset>-69850</wp:posOffset>
            </wp:positionH>
            <wp:positionV relativeFrom="paragraph">
              <wp:posOffset>-149860</wp:posOffset>
            </wp:positionV>
            <wp:extent cx="2204720" cy="562610"/>
            <wp:effectExtent l="0" t="0" r="5080" b="8890"/>
            <wp:wrapNone/>
            <wp:docPr id="2" name="Picture 2"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lackhoriz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571">
        <w:rPr>
          <w:rFonts w:asciiTheme="minorHAnsi" w:hAnsiTheme="minorHAnsi"/>
          <w:b/>
          <w:sz w:val="28"/>
          <w:szCs w:val="28"/>
        </w:rPr>
        <w:t>PROTOCOL FOR THE</w:t>
      </w:r>
    </w:p>
    <w:p w:rsidR="00DF44D1" w:rsidRPr="00597571" w:rsidRDefault="0080340F" w:rsidP="00DF44D1">
      <w:pPr>
        <w:jc w:val="right"/>
        <w:rPr>
          <w:rFonts w:asciiTheme="minorHAnsi" w:hAnsiTheme="minorHAnsi"/>
          <w:b/>
          <w:sz w:val="28"/>
          <w:szCs w:val="28"/>
        </w:rPr>
      </w:pPr>
      <w:r w:rsidRPr="00597571">
        <w:rPr>
          <w:rFonts w:asciiTheme="minorHAnsi" w:hAnsiTheme="minorHAnsi"/>
          <w:b/>
          <w:sz w:val="28"/>
          <w:szCs w:val="28"/>
        </w:rPr>
        <w:t>APPOINTMENT OF A HEAD OF DEPARTMENT</w:t>
      </w:r>
      <w:r w:rsidR="00186306" w:rsidRPr="00597571">
        <w:rPr>
          <w:rFonts w:asciiTheme="minorHAnsi" w:hAnsiTheme="minorHAnsi"/>
          <w:b/>
          <w:sz w:val="28"/>
          <w:szCs w:val="28"/>
        </w:rPr>
        <w:t xml:space="preserve"> </w:t>
      </w:r>
    </w:p>
    <w:p w:rsidR="0080340F" w:rsidRPr="00597571" w:rsidRDefault="00186306" w:rsidP="00DF44D1">
      <w:pPr>
        <w:jc w:val="right"/>
        <w:rPr>
          <w:rFonts w:asciiTheme="minorHAnsi" w:hAnsiTheme="minorHAnsi"/>
          <w:b/>
          <w:sz w:val="28"/>
          <w:szCs w:val="28"/>
        </w:rPr>
      </w:pPr>
      <w:r w:rsidRPr="00597571">
        <w:rPr>
          <w:rFonts w:asciiTheme="minorHAnsi" w:hAnsiTheme="minorHAnsi"/>
          <w:b/>
          <w:sz w:val="28"/>
          <w:szCs w:val="28"/>
        </w:rPr>
        <w:t>IN THE FACULTIES OF EDUCATION, COMMERCE, HUMANITIES AND SCIENCE</w:t>
      </w:r>
      <w:r w:rsidR="00E33A66" w:rsidRPr="00597571">
        <w:rPr>
          <w:rStyle w:val="FootnoteReference"/>
          <w:rFonts w:asciiTheme="minorHAnsi" w:hAnsiTheme="minorHAnsi"/>
          <w:b/>
          <w:sz w:val="28"/>
          <w:szCs w:val="28"/>
        </w:rPr>
        <w:footnoteReference w:id="1"/>
      </w:r>
    </w:p>
    <w:p w:rsidR="0080340F" w:rsidRPr="00DF44D1" w:rsidRDefault="0080340F" w:rsidP="0080340F">
      <w:pPr>
        <w:ind w:left="252"/>
        <w:rPr>
          <w:rFonts w:asciiTheme="minorHAnsi" w:hAnsiTheme="minorHAnsi"/>
          <w:sz w:val="22"/>
          <w:szCs w:val="22"/>
        </w:rPr>
      </w:pPr>
    </w:p>
    <w:p w:rsidR="0080340F" w:rsidRPr="00DF44D1" w:rsidRDefault="00DF44D1" w:rsidP="0080340F">
      <w:pPr>
        <w:rPr>
          <w:rFonts w:asciiTheme="minorHAnsi" w:hAnsiTheme="minorHAnsi"/>
          <w:b/>
          <w:sz w:val="22"/>
          <w:szCs w:val="22"/>
        </w:rPr>
      </w:pPr>
      <w:r w:rsidRPr="00DF44D1">
        <w:rPr>
          <w:rFonts w:asciiTheme="minorHAnsi" w:hAnsiTheme="minorHAnsi"/>
          <w:b/>
          <w:sz w:val="22"/>
          <w:szCs w:val="22"/>
        </w:rPr>
        <w:t xml:space="preserve">1. </w:t>
      </w:r>
      <w:r w:rsidR="0080340F" w:rsidRPr="00DF44D1">
        <w:rPr>
          <w:rFonts w:asciiTheme="minorHAnsi" w:hAnsiTheme="minorHAnsi"/>
          <w:b/>
          <w:sz w:val="22"/>
          <w:szCs w:val="22"/>
        </w:rPr>
        <w:t>Introduction</w:t>
      </w:r>
    </w:p>
    <w:p w:rsidR="0080340F" w:rsidRPr="00DF44D1" w:rsidRDefault="0080340F" w:rsidP="0080340F">
      <w:pPr>
        <w:rPr>
          <w:rFonts w:asciiTheme="minorHAnsi" w:hAnsiTheme="minorHAnsi"/>
          <w:sz w:val="22"/>
          <w:szCs w:val="22"/>
        </w:rPr>
      </w:pPr>
      <w:r w:rsidRPr="00DF44D1">
        <w:rPr>
          <w:rFonts w:asciiTheme="minorHAnsi" w:hAnsiTheme="minorHAnsi"/>
          <w:sz w:val="22"/>
          <w:szCs w:val="22"/>
        </w:rPr>
        <w:t>The process by which hea</w:t>
      </w:r>
      <w:r w:rsidR="00597571">
        <w:rPr>
          <w:rFonts w:asciiTheme="minorHAnsi" w:hAnsiTheme="minorHAnsi"/>
          <w:sz w:val="22"/>
          <w:szCs w:val="22"/>
        </w:rPr>
        <w:t xml:space="preserve">ds of departments are </w:t>
      </w:r>
      <w:r w:rsidR="00FE528E" w:rsidRPr="00DF44D1">
        <w:rPr>
          <w:rFonts w:asciiTheme="minorHAnsi" w:hAnsiTheme="minorHAnsi"/>
          <w:sz w:val="22"/>
          <w:szCs w:val="22"/>
        </w:rPr>
        <w:t xml:space="preserve">appointed is managed by the </w:t>
      </w:r>
      <w:r w:rsidR="00DF44D1">
        <w:rPr>
          <w:rFonts w:asciiTheme="minorHAnsi" w:hAnsiTheme="minorHAnsi"/>
          <w:sz w:val="22"/>
          <w:szCs w:val="22"/>
        </w:rPr>
        <w:t>D</w:t>
      </w:r>
      <w:r w:rsidR="00FE528E" w:rsidRPr="00DF44D1">
        <w:rPr>
          <w:rFonts w:asciiTheme="minorHAnsi" w:hAnsiTheme="minorHAnsi"/>
          <w:sz w:val="22"/>
          <w:szCs w:val="22"/>
        </w:rPr>
        <w:t>ean of the faculty and culmina</w:t>
      </w:r>
      <w:r w:rsidR="00DF44D1">
        <w:rPr>
          <w:rFonts w:asciiTheme="minorHAnsi" w:hAnsiTheme="minorHAnsi"/>
          <w:sz w:val="22"/>
          <w:szCs w:val="22"/>
        </w:rPr>
        <w:t>tes in a recommendation by the D</w:t>
      </w:r>
      <w:r w:rsidR="00FE528E" w:rsidRPr="00DF44D1">
        <w:rPr>
          <w:rFonts w:asciiTheme="minorHAnsi" w:hAnsiTheme="minorHAnsi"/>
          <w:sz w:val="22"/>
          <w:szCs w:val="22"/>
        </w:rPr>
        <w:t>ean for consideration by the Institutional Planning Committee (IPC) and later Senate and Council</w:t>
      </w:r>
      <w:r w:rsidR="00597571">
        <w:rPr>
          <w:rFonts w:asciiTheme="minorHAnsi" w:hAnsiTheme="minorHAnsi"/>
          <w:sz w:val="22"/>
          <w:szCs w:val="22"/>
        </w:rPr>
        <w:t xml:space="preserve">. </w:t>
      </w:r>
    </w:p>
    <w:p w:rsidR="0080340F" w:rsidRPr="00DF44D1" w:rsidRDefault="0080340F" w:rsidP="0080340F">
      <w:pPr>
        <w:rPr>
          <w:rFonts w:asciiTheme="minorHAnsi" w:hAnsiTheme="minorHAnsi"/>
          <w:sz w:val="22"/>
          <w:szCs w:val="22"/>
        </w:rPr>
      </w:pPr>
    </w:p>
    <w:p w:rsidR="0080340F" w:rsidRPr="00DF44D1" w:rsidRDefault="00FE528E" w:rsidP="0080340F">
      <w:pPr>
        <w:rPr>
          <w:rFonts w:asciiTheme="minorHAnsi" w:hAnsiTheme="minorHAnsi"/>
          <w:sz w:val="22"/>
          <w:szCs w:val="22"/>
        </w:rPr>
      </w:pPr>
      <w:r w:rsidRPr="00DF44D1">
        <w:rPr>
          <w:rFonts w:asciiTheme="minorHAnsi" w:hAnsiTheme="minorHAnsi"/>
          <w:sz w:val="22"/>
          <w:szCs w:val="22"/>
        </w:rPr>
        <w:t>H</w:t>
      </w:r>
      <w:r w:rsidR="0080340F" w:rsidRPr="00DF44D1">
        <w:rPr>
          <w:rFonts w:asciiTheme="minorHAnsi" w:hAnsiTheme="minorHAnsi"/>
          <w:sz w:val="22"/>
          <w:szCs w:val="22"/>
        </w:rPr>
        <w:t xml:space="preserve">eads of departments (HoD) are appointed for a period of three years.  The appointments process </w:t>
      </w:r>
      <w:r w:rsidR="00FA5623" w:rsidRPr="00DF44D1">
        <w:rPr>
          <w:rFonts w:asciiTheme="minorHAnsi" w:hAnsiTheme="minorHAnsi"/>
          <w:sz w:val="22"/>
          <w:szCs w:val="22"/>
        </w:rPr>
        <w:t>is normally</w:t>
      </w:r>
      <w:r w:rsidR="0080340F" w:rsidRPr="00DF44D1">
        <w:rPr>
          <w:rFonts w:asciiTheme="minorHAnsi" w:hAnsiTheme="minorHAnsi"/>
          <w:sz w:val="22"/>
          <w:szCs w:val="22"/>
        </w:rPr>
        <w:t xml:space="preserve"> completed by 1 January in the year in which the new </w:t>
      </w:r>
      <w:r w:rsidR="00FA5623" w:rsidRPr="00DF44D1">
        <w:rPr>
          <w:rFonts w:asciiTheme="minorHAnsi" w:hAnsiTheme="minorHAnsi"/>
          <w:sz w:val="22"/>
          <w:szCs w:val="22"/>
        </w:rPr>
        <w:t xml:space="preserve">HoD </w:t>
      </w:r>
      <w:r w:rsidR="0080340F" w:rsidRPr="00DF44D1">
        <w:rPr>
          <w:rFonts w:asciiTheme="minorHAnsi" w:hAnsiTheme="minorHAnsi"/>
          <w:sz w:val="22"/>
          <w:szCs w:val="22"/>
        </w:rPr>
        <w:t>take</w:t>
      </w:r>
      <w:r w:rsidR="00FA5623" w:rsidRPr="00DF44D1">
        <w:rPr>
          <w:rFonts w:asciiTheme="minorHAnsi" w:hAnsiTheme="minorHAnsi"/>
          <w:sz w:val="22"/>
          <w:szCs w:val="22"/>
        </w:rPr>
        <w:t>s</w:t>
      </w:r>
      <w:r w:rsidR="0080340F" w:rsidRPr="00DF44D1">
        <w:rPr>
          <w:rFonts w:asciiTheme="minorHAnsi" w:hAnsiTheme="minorHAnsi"/>
          <w:sz w:val="22"/>
          <w:szCs w:val="22"/>
        </w:rPr>
        <w:t xml:space="preserve"> office on 1 July.</w:t>
      </w:r>
      <w:r w:rsidR="00DF44D1">
        <w:rPr>
          <w:rFonts w:asciiTheme="minorHAnsi" w:hAnsiTheme="minorHAnsi"/>
          <w:sz w:val="22"/>
          <w:szCs w:val="22"/>
        </w:rPr>
        <w:t xml:space="preserve"> The period of appointment is usually from 1 July to 30 June such that the new HoD has a period of orientation and settling down and is involved in planning for the next academic year. </w:t>
      </w:r>
    </w:p>
    <w:p w:rsidR="00FE528E" w:rsidRDefault="00FE528E" w:rsidP="0080340F">
      <w:pPr>
        <w:rPr>
          <w:rFonts w:asciiTheme="minorHAnsi" w:hAnsiTheme="minorHAnsi"/>
          <w:sz w:val="22"/>
          <w:szCs w:val="22"/>
        </w:rPr>
      </w:pPr>
    </w:p>
    <w:p w:rsidR="00604DEF" w:rsidRPr="00DF44D1" w:rsidRDefault="00DF44D1" w:rsidP="0080340F">
      <w:pPr>
        <w:rPr>
          <w:rFonts w:asciiTheme="minorHAnsi" w:hAnsiTheme="minorHAnsi"/>
          <w:b/>
          <w:sz w:val="22"/>
          <w:szCs w:val="22"/>
        </w:rPr>
      </w:pPr>
      <w:r>
        <w:rPr>
          <w:rFonts w:asciiTheme="minorHAnsi" w:hAnsiTheme="minorHAnsi"/>
          <w:b/>
          <w:sz w:val="22"/>
          <w:szCs w:val="22"/>
        </w:rPr>
        <w:t xml:space="preserve">2. </w:t>
      </w:r>
      <w:r w:rsidR="00604DEF" w:rsidRPr="00DF44D1">
        <w:rPr>
          <w:rFonts w:asciiTheme="minorHAnsi" w:hAnsiTheme="minorHAnsi"/>
          <w:b/>
          <w:sz w:val="22"/>
          <w:szCs w:val="22"/>
        </w:rPr>
        <w:t xml:space="preserve">Context of </w:t>
      </w:r>
      <w:r>
        <w:rPr>
          <w:rFonts w:asciiTheme="minorHAnsi" w:hAnsiTheme="minorHAnsi"/>
          <w:b/>
          <w:sz w:val="22"/>
          <w:szCs w:val="22"/>
        </w:rPr>
        <w:t xml:space="preserve">the </w:t>
      </w:r>
      <w:r w:rsidR="00604DEF" w:rsidRPr="00DF44D1">
        <w:rPr>
          <w:rFonts w:asciiTheme="minorHAnsi" w:hAnsiTheme="minorHAnsi"/>
          <w:b/>
          <w:sz w:val="22"/>
          <w:szCs w:val="22"/>
        </w:rPr>
        <w:t xml:space="preserve">Appointment of </w:t>
      </w:r>
      <w:r>
        <w:rPr>
          <w:rFonts w:asciiTheme="minorHAnsi" w:hAnsiTheme="minorHAnsi"/>
          <w:b/>
          <w:sz w:val="22"/>
          <w:szCs w:val="22"/>
        </w:rPr>
        <w:t xml:space="preserve">the </w:t>
      </w:r>
      <w:r w:rsidR="00604DEF" w:rsidRPr="00DF44D1">
        <w:rPr>
          <w:rFonts w:asciiTheme="minorHAnsi" w:hAnsiTheme="minorHAnsi"/>
          <w:b/>
          <w:sz w:val="22"/>
          <w:szCs w:val="22"/>
        </w:rPr>
        <w:t>HoD</w:t>
      </w:r>
    </w:p>
    <w:p w:rsidR="00DF44D1" w:rsidRDefault="00DF44D1" w:rsidP="00C05F9D">
      <w:pPr>
        <w:rPr>
          <w:rFonts w:asciiTheme="minorHAnsi" w:hAnsiTheme="minorHAnsi"/>
          <w:sz w:val="22"/>
          <w:szCs w:val="22"/>
        </w:rPr>
      </w:pPr>
      <w:r w:rsidRPr="00C05F9D">
        <w:rPr>
          <w:rFonts w:asciiTheme="minorHAnsi" w:hAnsiTheme="minorHAnsi"/>
          <w:sz w:val="22"/>
          <w:szCs w:val="22"/>
        </w:rPr>
        <w:t>The appointment of a</w:t>
      </w:r>
      <w:r w:rsidR="00F642BA" w:rsidRPr="00C05F9D">
        <w:rPr>
          <w:rFonts w:asciiTheme="minorHAnsi" w:hAnsiTheme="minorHAnsi"/>
          <w:sz w:val="22"/>
          <w:szCs w:val="22"/>
        </w:rPr>
        <w:t xml:space="preserve"> HoD takes place within a context of an academic department seeking </w:t>
      </w:r>
      <w:r w:rsidRPr="00C05F9D">
        <w:rPr>
          <w:rFonts w:asciiTheme="minorHAnsi" w:hAnsiTheme="minorHAnsi"/>
          <w:sz w:val="22"/>
          <w:szCs w:val="22"/>
        </w:rPr>
        <w:t xml:space="preserve">and needing </w:t>
      </w:r>
      <w:r w:rsidR="00F642BA" w:rsidRPr="00C05F9D">
        <w:rPr>
          <w:rFonts w:asciiTheme="minorHAnsi" w:hAnsiTheme="minorHAnsi"/>
          <w:sz w:val="22"/>
          <w:szCs w:val="22"/>
        </w:rPr>
        <w:t xml:space="preserve">leadership and individuals seeking leadership opportunities.  </w:t>
      </w:r>
      <w:r w:rsidRPr="00C05F9D">
        <w:rPr>
          <w:rFonts w:asciiTheme="minorHAnsi" w:hAnsiTheme="minorHAnsi"/>
          <w:sz w:val="22"/>
          <w:szCs w:val="22"/>
        </w:rPr>
        <w:t>It is acknowledged that in some departments, the responsibility of leadership is shared by the senior academics, such that the HoD role is more one of academic facilitator</w:t>
      </w:r>
      <w:r w:rsidR="00597571" w:rsidRPr="00C05F9D">
        <w:rPr>
          <w:rFonts w:asciiTheme="minorHAnsi" w:hAnsiTheme="minorHAnsi"/>
          <w:sz w:val="22"/>
          <w:szCs w:val="22"/>
        </w:rPr>
        <w:t>, administrator and people manager.</w:t>
      </w:r>
    </w:p>
    <w:p w:rsidR="00DF44D1" w:rsidRDefault="00DF44D1" w:rsidP="0080340F">
      <w:pPr>
        <w:rPr>
          <w:rFonts w:asciiTheme="minorHAnsi" w:hAnsiTheme="minorHAnsi"/>
          <w:sz w:val="22"/>
          <w:szCs w:val="22"/>
        </w:rPr>
      </w:pPr>
    </w:p>
    <w:p w:rsidR="00DB52AD" w:rsidRDefault="00F642BA" w:rsidP="0080340F">
      <w:pPr>
        <w:rPr>
          <w:rFonts w:asciiTheme="minorHAnsi" w:hAnsiTheme="minorHAnsi"/>
          <w:sz w:val="22"/>
          <w:szCs w:val="22"/>
        </w:rPr>
      </w:pPr>
      <w:r w:rsidRPr="00DF44D1">
        <w:rPr>
          <w:rFonts w:asciiTheme="minorHAnsi" w:hAnsiTheme="minorHAnsi"/>
          <w:sz w:val="22"/>
          <w:szCs w:val="22"/>
        </w:rPr>
        <w:t xml:space="preserve">The determination of a new HoD </w:t>
      </w:r>
      <w:r w:rsidR="004852BC" w:rsidRPr="00DF44D1">
        <w:rPr>
          <w:rFonts w:asciiTheme="minorHAnsi" w:hAnsiTheme="minorHAnsi"/>
          <w:sz w:val="22"/>
          <w:szCs w:val="22"/>
        </w:rPr>
        <w:t xml:space="preserve">must of necessity involve a critical interrogation of both </w:t>
      </w:r>
      <w:r w:rsidR="00DF44D1">
        <w:rPr>
          <w:rFonts w:asciiTheme="minorHAnsi" w:hAnsiTheme="minorHAnsi"/>
          <w:sz w:val="22"/>
          <w:szCs w:val="22"/>
        </w:rPr>
        <w:t xml:space="preserve">institutional and </w:t>
      </w:r>
      <w:r w:rsidR="004852BC" w:rsidRPr="00DF44D1">
        <w:rPr>
          <w:rFonts w:asciiTheme="minorHAnsi" w:hAnsiTheme="minorHAnsi"/>
          <w:sz w:val="22"/>
          <w:szCs w:val="22"/>
        </w:rPr>
        <w:t>department</w:t>
      </w:r>
      <w:r w:rsidR="00DF44D1">
        <w:rPr>
          <w:rFonts w:asciiTheme="minorHAnsi" w:hAnsiTheme="minorHAnsi"/>
          <w:sz w:val="22"/>
          <w:szCs w:val="22"/>
        </w:rPr>
        <w:t>al needs</w:t>
      </w:r>
      <w:r w:rsidR="004852BC" w:rsidRPr="00DF44D1">
        <w:rPr>
          <w:rFonts w:asciiTheme="minorHAnsi" w:hAnsiTheme="minorHAnsi"/>
          <w:sz w:val="22"/>
          <w:szCs w:val="22"/>
        </w:rPr>
        <w:t xml:space="preserve"> and </w:t>
      </w:r>
      <w:r w:rsidR="00DF44D1">
        <w:rPr>
          <w:rFonts w:asciiTheme="minorHAnsi" w:hAnsiTheme="minorHAnsi"/>
          <w:sz w:val="22"/>
          <w:szCs w:val="22"/>
        </w:rPr>
        <w:t xml:space="preserve">the </w:t>
      </w:r>
      <w:r w:rsidR="004852BC" w:rsidRPr="00DF44D1">
        <w:rPr>
          <w:rFonts w:asciiTheme="minorHAnsi" w:hAnsiTheme="minorHAnsi"/>
          <w:sz w:val="22"/>
          <w:szCs w:val="22"/>
        </w:rPr>
        <w:t>applicants</w:t>
      </w:r>
      <w:r w:rsidR="00DF44D1">
        <w:rPr>
          <w:rFonts w:asciiTheme="minorHAnsi" w:hAnsiTheme="minorHAnsi"/>
          <w:sz w:val="22"/>
          <w:szCs w:val="22"/>
        </w:rPr>
        <w:t>’ ability to meet those needs in</w:t>
      </w:r>
      <w:r w:rsidR="004852BC" w:rsidRPr="00DF44D1">
        <w:rPr>
          <w:rFonts w:asciiTheme="minorHAnsi" w:hAnsiTheme="minorHAnsi"/>
          <w:sz w:val="22"/>
          <w:szCs w:val="22"/>
        </w:rPr>
        <w:t xml:space="preserve"> the position of HoD</w:t>
      </w:r>
      <w:r w:rsidR="002D0BFB" w:rsidRPr="00DF44D1">
        <w:rPr>
          <w:rFonts w:asciiTheme="minorHAnsi" w:hAnsiTheme="minorHAnsi"/>
          <w:sz w:val="22"/>
          <w:szCs w:val="22"/>
        </w:rPr>
        <w:t xml:space="preserve"> such that the most appropriate person is appointed to lead the department in the most appropriate direction</w:t>
      </w:r>
      <w:r w:rsidR="004852BC" w:rsidRPr="00DF44D1">
        <w:rPr>
          <w:rFonts w:asciiTheme="minorHAnsi" w:hAnsiTheme="minorHAnsi"/>
          <w:sz w:val="22"/>
          <w:szCs w:val="22"/>
        </w:rPr>
        <w:t>.</w:t>
      </w:r>
      <w:r w:rsidR="00DF44D1">
        <w:rPr>
          <w:rFonts w:asciiTheme="minorHAnsi" w:hAnsiTheme="minorHAnsi"/>
          <w:sz w:val="22"/>
          <w:szCs w:val="22"/>
        </w:rPr>
        <w:t xml:space="preserve"> </w:t>
      </w:r>
    </w:p>
    <w:p w:rsidR="00DB52AD" w:rsidRDefault="00DB52AD" w:rsidP="0080340F">
      <w:pPr>
        <w:rPr>
          <w:rFonts w:asciiTheme="minorHAnsi" w:hAnsiTheme="minorHAnsi"/>
          <w:sz w:val="22"/>
          <w:szCs w:val="22"/>
        </w:rPr>
      </w:pPr>
    </w:p>
    <w:p w:rsidR="00DB52AD" w:rsidRDefault="00DB52AD" w:rsidP="0080340F">
      <w:pPr>
        <w:rPr>
          <w:rFonts w:asciiTheme="minorHAnsi" w:hAnsiTheme="minorHAnsi"/>
          <w:sz w:val="22"/>
          <w:szCs w:val="22"/>
        </w:rPr>
      </w:pPr>
      <w:r>
        <w:rPr>
          <w:rFonts w:asciiTheme="minorHAnsi" w:hAnsiTheme="minorHAnsi"/>
          <w:sz w:val="22"/>
          <w:szCs w:val="22"/>
        </w:rPr>
        <w:t xml:space="preserve">Institutional needs include </w:t>
      </w:r>
      <w:r w:rsidR="00597571">
        <w:rPr>
          <w:rFonts w:asciiTheme="minorHAnsi" w:hAnsiTheme="minorHAnsi"/>
          <w:sz w:val="22"/>
          <w:szCs w:val="22"/>
        </w:rPr>
        <w:t>ensuring alignment of the department with the strategic imperatives of the institution including transformation and employment equity; supporting the values of the institution and engaging in practices of good governance and sound leadership.</w:t>
      </w:r>
    </w:p>
    <w:p w:rsidR="00597571" w:rsidRDefault="00597571" w:rsidP="0080340F">
      <w:pPr>
        <w:rPr>
          <w:rFonts w:asciiTheme="minorHAnsi" w:hAnsiTheme="minorHAnsi"/>
          <w:sz w:val="22"/>
          <w:szCs w:val="22"/>
        </w:rPr>
      </w:pPr>
    </w:p>
    <w:p w:rsidR="004852BC" w:rsidRPr="00DF44D1" w:rsidRDefault="004852BC" w:rsidP="0080340F">
      <w:pPr>
        <w:rPr>
          <w:rFonts w:asciiTheme="minorHAnsi" w:hAnsiTheme="minorHAnsi"/>
          <w:sz w:val="22"/>
          <w:szCs w:val="22"/>
        </w:rPr>
      </w:pPr>
      <w:r w:rsidRPr="00DF44D1">
        <w:rPr>
          <w:rFonts w:asciiTheme="minorHAnsi" w:hAnsiTheme="minorHAnsi"/>
          <w:sz w:val="22"/>
          <w:szCs w:val="22"/>
        </w:rPr>
        <w:t xml:space="preserve">The current state of a department needs to be considered inclusive of its academic trajectory </w:t>
      </w:r>
      <w:r w:rsidR="00DF44D1">
        <w:rPr>
          <w:rFonts w:asciiTheme="minorHAnsi" w:hAnsiTheme="minorHAnsi"/>
          <w:sz w:val="22"/>
          <w:szCs w:val="22"/>
        </w:rPr>
        <w:t xml:space="preserve">(related to teaching and learning, research, administration, professional involvement and community engagement) </w:t>
      </w:r>
      <w:r w:rsidRPr="00DF44D1">
        <w:rPr>
          <w:rFonts w:asciiTheme="minorHAnsi" w:hAnsiTheme="minorHAnsi"/>
          <w:sz w:val="22"/>
          <w:szCs w:val="22"/>
        </w:rPr>
        <w:t xml:space="preserve">and </w:t>
      </w:r>
      <w:r w:rsidR="00DF44D1">
        <w:rPr>
          <w:rFonts w:asciiTheme="minorHAnsi" w:hAnsiTheme="minorHAnsi"/>
          <w:sz w:val="22"/>
          <w:szCs w:val="22"/>
        </w:rPr>
        <w:t>the implementation</w:t>
      </w:r>
      <w:r w:rsidRPr="00DF44D1">
        <w:rPr>
          <w:rFonts w:asciiTheme="minorHAnsi" w:hAnsiTheme="minorHAnsi"/>
          <w:sz w:val="22"/>
          <w:szCs w:val="22"/>
        </w:rPr>
        <w:t xml:space="preserve"> strategies </w:t>
      </w:r>
      <w:r w:rsidR="00DF44D1">
        <w:rPr>
          <w:rFonts w:asciiTheme="minorHAnsi" w:hAnsiTheme="minorHAnsi"/>
          <w:sz w:val="22"/>
          <w:szCs w:val="22"/>
        </w:rPr>
        <w:t xml:space="preserve">used to achieve that trajectory.  The </w:t>
      </w:r>
      <w:r w:rsidR="002D0BFB" w:rsidRPr="00DF44D1">
        <w:rPr>
          <w:rFonts w:asciiTheme="minorHAnsi" w:hAnsiTheme="minorHAnsi"/>
          <w:sz w:val="22"/>
          <w:szCs w:val="22"/>
        </w:rPr>
        <w:t xml:space="preserve">University Digest of Statistics, internal departmental documentation relating to mission, vision and </w:t>
      </w:r>
      <w:r w:rsidR="00FB6E88">
        <w:rPr>
          <w:rFonts w:asciiTheme="minorHAnsi" w:hAnsiTheme="minorHAnsi"/>
          <w:sz w:val="22"/>
          <w:szCs w:val="22"/>
        </w:rPr>
        <w:t>strategies</w:t>
      </w:r>
      <w:r w:rsidR="002D0BFB" w:rsidRPr="00DF44D1">
        <w:rPr>
          <w:rFonts w:asciiTheme="minorHAnsi" w:hAnsiTheme="minorHAnsi"/>
          <w:sz w:val="22"/>
          <w:szCs w:val="22"/>
        </w:rPr>
        <w:t xml:space="preserve">, </w:t>
      </w:r>
      <w:r w:rsidR="00293BB2" w:rsidRPr="00DF44D1">
        <w:rPr>
          <w:rFonts w:asciiTheme="minorHAnsi" w:hAnsiTheme="minorHAnsi"/>
          <w:sz w:val="22"/>
          <w:szCs w:val="22"/>
        </w:rPr>
        <w:t>as well as any University-wide imperatives serve both to contextualise and understand a department.</w:t>
      </w:r>
    </w:p>
    <w:p w:rsidR="002D0BFB" w:rsidRPr="00DF44D1" w:rsidRDefault="002D0BFB" w:rsidP="0080340F">
      <w:pPr>
        <w:rPr>
          <w:rFonts w:asciiTheme="minorHAnsi" w:hAnsiTheme="minorHAnsi"/>
          <w:sz w:val="22"/>
          <w:szCs w:val="22"/>
        </w:rPr>
      </w:pPr>
    </w:p>
    <w:p w:rsidR="000C48FA" w:rsidRPr="00DF44D1" w:rsidRDefault="002D0BFB" w:rsidP="0080340F">
      <w:pPr>
        <w:rPr>
          <w:rFonts w:asciiTheme="minorHAnsi" w:hAnsiTheme="minorHAnsi"/>
          <w:sz w:val="22"/>
          <w:szCs w:val="22"/>
        </w:rPr>
      </w:pPr>
      <w:r w:rsidRPr="00DF44D1">
        <w:rPr>
          <w:rFonts w:asciiTheme="minorHAnsi" w:hAnsiTheme="minorHAnsi"/>
          <w:sz w:val="22"/>
          <w:szCs w:val="22"/>
        </w:rPr>
        <w:t xml:space="preserve">Applicants need to be fully aware of the roles and responsibilities of </w:t>
      </w:r>
      <w:r w:rsidR="00FB6E88">
        <w:rPr>
          <w:rFonts w:asciiTheme="minorHAnsi" w:hAnsiTheme="minorHAnsi"/>
          <w:sz w:val="22"/>
          <w:szCs w:val="22"/>
        </w:rPr>
        <w:t>a</w:t>
      </w:r>
      <w:r w:rsidRPr="00DF44D1">
        <w:rPr>
          <w:rFonts w:asciiTheme="minorHAnsi" w:hAnsiTheme="minorHAnsi"/>
          <w:sz w:val="22"/>
          <w:szCs w:val="22"/>
        </w:rPr>
        <w:t xml:space="preserve"> HoD </w:t>
      </w:r>
      <w:r w:rsidR="00056B45" w:rsidRPr="00DF44D1">
        <w:rPr>
          <w:rFonts w:asciiTheme="minorHAnsi" w:hAnsiTheme="minorHAnsi"/>
          <w:sz w:val="22"/>
          <w:szCs w:val="22"/>
        </w:rPr>
        <w:t xml:space="preserve">particularly as it </w:t>
      </w:r>
      <w:r w:rsidR="000C48FA" w:rsidRPr="00DF44D1">
        <w:rPr>
          <w:rFonts w:asciiTheme="minorHAnsi" w:hAnsiTheme="minorHAnsi"/>
          <w:sz w:val="22"/>
          <w:szCs w:val="22"/>
        </w:rPr>
        <w:t>pertains</w:t>
      </w:r>
      <w:r w:rsidR="00056B45" w:rsidRPr="00DF44D1">
        <w:rPr>
          <w:rFonts w:asciiTheme="minorHAnsi" w:hAnsiTheme="minorHAnsi"/>
          <w:sz w:val="22"/>
          <w:szCs w:val="22"/>
        </w:rPr>
        <w:t xml:space="preserve"> to the provision of academic leadership for a department.  Additional</w:t>
      </w:r>
      <w:r w:rsidR="000C48FA" w:rsidRPr="00DF44D1">
        <w:rPr>
          <w:rFonts w:asciiTheme="minorHAnsi" w:hAnsiTheme="minorHAnsi"/>
          <w:sz w:val="22"/>
          <w:szCs w:val="22"/>
        </w:rPr>
        <w:t xml:space="preserve"> roles and responsibilities include that of</w:t>
      </w:r>
      <w:r w:rsidR="00FB6E88">
        <w:rPr>
          <w:rFonts w:asciiTheme="minorHAnsi" w:hAnsiTheme="minorHAnsi"/>
          <w:sz w:val="22"/>
          <w:szCs w:val="22"/>
        </w:rPr>
        <w:t xml:space="preserve"> people management, change facilitator</w:t>
      </w:r>
      <w:r w:rsidR="000C48FA" w:rsidRPr="00DF44D1">
        <w:rPr>
          <w:rFonts w:asciiTheme="minorHAnsi" w:hAnsiTheme="minorHAnsi"/>
          <w:sz w:val="22"/>
          <w:szCs w:val="22"/>
        </w:rPr>
        <w:t xml:space="preserve">, </w:t>
      </w:r>
      <w:r w:rsidR="00FB6E88">
        <w:rPr>
          <w:rFonts w:asciiTheme="minorHAnsi" w:hAnsiTheme="minorHAnsi"/>
          <w:sz w:val="22"/>
          <w:szCs w:val="22"/>
        </w:rPr>
        <w:t>administrator and resourcer</w:t>
      </w:r>
      <w:r w:rsidR="000C48FA" w:rsidRPr="00DF44D1">
        <w:rPr>
          <w:rFonts w:asciiTheme="minorHAnsi" w:hAnsiTheme="minorHAnsi"/>
          <w:sz w:val="22"/>
          <w:szCs w:val="22"/>
        </w:rPr>
        <w:t xml:space="preserve"> a</w:t>
      </w:r>
      <w:r w:rsidR="00FB6E88">
        <w:rPr>
          <w:rFonts w:asciiTheme="minorHAnsi" w:hAnsiTheme="minorHAnsi"/>
          <w:sz w:val="22"/>
          <w:szCs w:val="22"/>
        </w:rPr>
        <w:t>s well as</w:t>
      </w:r>
      <w:r w:rsidR="000C48FA" w:rsidRPr="00DF44D1">
        <w:rPr>
          <w:rFonts w:asciiTheme="minorHAnsi" w:hAnsiTheme="minorHAnsi"/>
          <w:sz w:val="22"/>
          <w:szCs w:val="22"/>
        </w:rPr>
        <w:t xml:space="preserve"> </w:t>
      </w:r>
      <w:r w:rsidR="00FB6E88">
        <w:rPr>
          <w:rFonts w:asciiTheme="minorHAnsi" w:hAnsiTheme="minorHAnsi"/>
          <w:sz w:val="22"/>
          <w:szCs w:val="22"/>
        </w:rPr>
        <w:t>a</w:t>
      </w:r>
      <w:r w:rsidR="000C48FA" w:rsidRPr="00DF44D1">
        <w:rPr>
          <w:rFonts w:asciiTheme="minorHAnsi" w:hAnsiTheme="minorHAnsi"/>
          <w:sz w:val="22"/>
          <w:szCs w:val="22"/>
        </w:rPr>
        <w:t xml:space="preserve">dvocate.  Applicants also need to weigh carefully the needs and expectations of a department (of its HoD) with their own career aspirations.  </w:t>
      </w:r>
      <w:r w:rsidR="00DB52AD">
        <w:rPr>
          <w:rFonts w:asciiTheme="minorHAnsi" w:hAnsiTheme="minorHAnsi"/>
          <w:sz w:val="22"/>
          <w:szCs w:val="22"/>
        </w:rPr>
        <w:t xml:space="preserve">For a more detailed description the HOD role, please refer to Appendix 1. </w:t>
      </w:r>
    </w:p>
    <w:p w:rsidR="00DB52AD" w:rsidRDefault="00DB52AD" w:rsidP="0080340F">
      <w:pPr>
        <w:rPr>
          <w:rFonts w:asciiTheme="minorHAnsi" w:hAnsiTheme="minorHAnsi"/>
          <w:sz w:val="22"/>
          <w:szCs w:val="22"/>
        </w:rPr>
      </w:pPr>
    </w:p>
    <w:p w:rsidR="00DB52AD" w:rsidRDefault="00691AFD" w:rsidP="0080340F">
      <w:pPr>
        <w:rPr>
          <w:rFonts w:asciiTheme="minorHAnsi" w:hAnsiTheme="minorHAnsi"/>
          <w:sz w:val="22"/>
          <w:szCs w:val="22"/>
        </w:rPr>
      </w:pPr>
      <w:r w:rsidRPr="00DF44D1">
        <w:rPr>
          <w:rFonts w:asciiTheme="minorHAnsi" w:hAnsiTheme="minorHAnsi"/>
          <w:sz w:val="22"/>
          <w:szCs w:val="22"/>
        </w:rPr>
        <w:t xml:space="preserve">The final appointment of a HoD takes place within a </w:t>
      </w:r>
      <w:r w:rsidR="00DB52AD">
        <w:rPr>
          <w:rFonts w:asciiTheme="minorHAnsi" w:hAnsiTheme="minorHAnsi"/>
          <w:sz w:val="22"/>
          <w:szCs w:val="22"/>
        </w:rPr>
        <w:t>framework that provides guidelines related to:</w:t>
      </w:r>
    </w:p>
    <w:p w:rsidR="00DB52AD" w:rsidRDefault="00DB52AD" w:rsidP="00DB52AD">
      <w:pPr>
        <w:pStyle w:val="ListParagraph"/>
        <w:numPr>
          <w:ilvl w:val="0"/>
          <w:numId w:val="17"/>
        </w:numPr>
        <w:rPr>
          <w:rFonts w:asciiTheme="minorHAnsi" w:hAnsiTheme="minorHAnsi"/>
          <w:sz w:val="22"/>
          <w:szCs w:val="22"/>
        </w:rPr>
      </w:pPr>
      <w:r>
        <w:rPr>
          <w:rFonts w:asciiTheme="minorHAnsi" w:hAnsiTheme="minorHAnsi"/>
          <w:sz w:val="22"/>
          <w:szCs w:val="22"/>
        </w:rPr>
        <w:t>P</w:t>
      </w:r>
      <w:r w:rsidR="00691AFD" w:rsidRPr="00DB52AD">
        <w:rPr>
          <w:rFonts w:asciiTheme="minorHAnsi" w:hAnsiTheme="minorHAnsi"/>
          <w:sz w:val="22"/>
          <w:szCs w:val="22"/>
        </w:rPr>
        <w:t xml:space="preserve">eriod </w:t>
      </w:r>
      <w:r w:rsidRPr="00DB52AD">
        <w:rPr>
          <w:rFonts w:asciiTheme="minorHAnsi" w:hAnsiTheme="minorHAnsi"/>
          <w:sz w:val="22"/>
          <w:szCs w:val="22"/>
        </w:rPr>
        <w:t xml:space="preserve">and process </w:t>
      </w:r>
      <w:r w:rsidR="00691AFD" w:rsidRPr="00DB52AD">
        <w:rPr>
          <w:rFonts w:asciiTheme="minorHAnsi" w:hAnsiTheme="minorHAnsi"/>
          <w:sz w:val="22"/>
          <w:szCs w:val="22"/>
        </w:rPr>
        <w:t>of appointment</w:t>
      </w:r>
      <w:r w:rsidRPr="00DB52AD">
        <w:rPr>
          <w:rFonts w:asciiTheme="minorHAnsi" w:hAnsiTheme="minorHAnsi"/>
          <w:sz w:val="22"/>
          <w:szCs w:val="22"/>
        </w:rPr>
        <w:t xml:space="preserve"> (this protocol);</w:t>
      </w:r>
      <w:r w:rsidR="00691AFD" w:rsidRPr="00DB52AD">
        <w:rPr>
          <w:rFonts w:asciiTheme="minorHAnsi" w:hAnsiTheme="minorHAnsi"/>
          <w:sz w:val="22"/>
          <w:szCs w:val="22"/>
        </w:rPr>
        <w:t xml:space="preserve"> </w:t>
      </w:r>
    </w:p>
    <w:p w:rsidR="00DB52AD" w:rsidRDefault="00DB52AD" w:rsidP="00DB52AD">
      <w:pPr>
        <w:pStyle w:val="ListParagraph"/>
        <w:numPr>
          <w:ilvl w:val="0"/>
          <w:numId w:val="17"/>
        </w:numPr>
        <w:rPr>
          <w:rFonts w:asciiTheme="minorHAnsi" w:hAnsiTheme="minorHAnsi"/>
          <w:sz w:val="22"/>
          <w:szCs w:val="22"/>
        </w:rPr>
      </w:pPr>
      <w:r>
        <w:rPr>
          <w:rFonts w:asciiTheme="minorHAnsi" w:hAnsiTheme="minorHAnsi"/>
          <w:sz w:val="22"/>
          <w:szCs w:val="22"/>
        </w:rPr>
        <w:t>M</w:t>
      </w:r>
      <w:r w:rsidR="00691AFD" w:rsidRPr="00DB52AD">
        <w:rPr>
          <w:rFonts w:asciiTheme="minorHAnsi" w:hAnsiTheme="minorHAnsi"/>
          <w:sz w:val="22"/>
          <w:szCs w:val="22"/>
        </w:rPr>
        <w:t>entoring, support and development</w:t>
      </w:r>
      <w:r w:rsidRPr="00DB52AD">
        <w:rPr>
          <w:rFonts w:asciiTheme="minorHAnsi" w:hAnsiTheme="minorHAnsi"/>
          <w:sz w:val="22"/>
          <w:szCs w:val="22"/>
        </w:rPr>
        <w:t xml:space="preserve"> provided by the Dean and other senior staff in the institution (protocol on review and support of HODs); </w:t>
      </w:r>
    </w:p>
    <w:p w:rsidR="00DB52AD" w:rsidRDefault="00DB52AD" w:rsidP="00DB52AD">
      <w:pPr>
        <w:pStyle w:val="ListParagraph"/>
        <w:numPr>
          <w:ilvl w:val="0"/>
          <w:numId w:val="17"/>
        </w:numPr>
        <w:rPr>
          <w:rFonts w:asciiTheme="minorHAnsi" w:hAnsiTheme="minorHAnsi"/>
          <w:sz w:val="22"/>
          <w:szCs w:val="22"/>
        </w:rPr>
      </w:pPr>
      <w:r>
        <w:rPr>
          <w:rFonts w:asciiTheme="minorHAnsi" w:hAnsiTheme="minorHAnsi"/>
          <w:sz w:val="22"/>
          <w:szCs w:val="22"/>
        </w:rPr>
        <w:t>R</w:t>
      </w:r>
      <w:r w:rsidRPr="00DB52AD">
        <w:rPr>
          <w:rFonts w:asciiTheme="minorHAnsi" w:hAnsiTheme="minorHAnsi"/>
          <w:sz w:val="22"/>
          <w:szCs w:val="22"/>
        </w:rPr>
        <w:t xml:space="preserve">esources provided to support the HoD and academic (protocol related to HoD academic leave and HoD research support); </w:t>
      </w:r>
      <w:r w:rsidR="00691AFD" w:rsidRPr="00DB52AD">
        <w:rPr>
          <w:rFonts w:asciiTheme="minorHAnsi" w:hAnsiTheme="minorHAnsi"/>
          <w:sz w:val="22"/>
          <w:szCs w:val="22"/>
        </w:rPr>
        <w:t xml:space="preserve"> </w:t>
      </w:r>
    </w:p>
    <w:p w:rsidR="00691AFD" w:rsidRPr="00DB52AD" w:rsidRDefault="00DB52AD" w:rsidP="00DB52AD">
      <w:pPr>
        <w:pStyle w:val="ListParagraph"/>
        <w:numPr>
          <w:ilvl w:val="0"/>
          <w:numId w:val="17"/>
        </w:numPr>
        <w:rPr>
          <w:rFonts w:asciiTheme="minorHAnsi" w:hAnsiTheme="minorHAnsi"/>
          <w:sz w:val="22"/>
          <w:szCs w:val="22"/>
        </w:rPr>
      </w:pPr>
      <w:r>
        <w:rPr>
          <w:rFonts w:asciiTheme="minorHAnsi" w:hAnsiTheme="minorHAnsi"/>
          <w:sz w:val="22"/>
          <w:szCs w:val="22"/>
        </w:rPr>
        <w:t>A</w:t>
      </w:r>
      <w:r w:rsidR="00691AFD" w:rsidRPr="00DB52AD">
        <w:rPr>
          <w:rFonts w:asciiTheme="minorHAnsi" w:hAnsiTheme="minorHAnsi"/>
          <w:sz w:val="22"/>
          <w:szCs w:val="22"/>
        </w:rPr>
        <w:t>llowance paid to HoDs</w:t>
      </w:r>
      <w:r w:rsidRPr="00DB52AD">
        <w:rPr>
          <w:rFonts w:asciiTheme="minorHAnsi" w:hAnsiTheme="minorHAnsi"/>
          <w:sz w:val="22"/>
          <w:szCs w:val="22"/>
        </w:rPr>
        <w:t xml:space="preserve"> (protocol related to HoD allowances and the determination thereof)</w:t>
      </w:r>
      <w:r w:rsidR="00691AFD" w:rsidRPr="00DB52AD">
        <w:rPr>
          <w:rFonts w:asciiTheme="minorHAnsi" w:hAnsiTheme="minorHAnsi"/>
          <w:sz w:val="22"/>
          <w:szCs w:val="22"/>
        </w:rPr>
        <w:t>.</w:t>
      </w:r>
    </w:p>
    <w:p w:rsidR="00443BAA" w:rsidRDefault="00443BAA" w:rsidP="0080340F">
      <w:pPr>
        <w:rPr>
          <w:rFonts w:asciiTheme="minorHAnsi" w:hAnsiTheme="minorHAnsi"/>
          <w:sz w:val="22"/>
          <w:szCs w:val="22"/>
        </w:rPr>
      </w:pPr>
    </w:p>
    <w:p w:rsidR="00691AFD" w:rsidRDefault="00691AFD" w:rsidP="0080340F">
      <w:pPr>
        <w:rPr>
          <w:rFonts w:asciiTheme="minorHAnsi" w:hAnsiTheme="minorHAnsi"/>
          <w:sz w:val="22"/>
          <w:szCs w:val="22"/>
        </w:rPr>
      </w:pPr>
    </w:p>
    <w:p w:rsidR="00BF17B7" w:rsidRPr="00DF44D1" w:rsidRDefault="00BF17B7" w:rsidP="0080340F">
      <w:pPr>
        <w:rPr>
          <w:rFonts w:asciiTheme="minorHAnsi" w:hAnsiTheme="minorHAnsi"/>
          <w:sz w:val="22"/>
          <w:szCs w:val="22"/>
        </w:rPr>
      </w:pPr>
    </w:p>
    <w:p w:rsidR="001B7F50" w:rsidRPr="00DF44D1" w:rsidRDefault="00AE241D" w:rsidP="0080340F">
      <w:pPr>
        <w:rPr>
          <w:rFonts w:asciiTheme="minorHAnsi" w:hAnsiTheme="minorHAnsi"/>
          <w:b/>
          <w:sz w:val="22"/>
          <w:szCs w:val="22"/>
        </w:rPr>
      </w:pPr>
      <w:r>
        <w:rPr>
          <w:rFonts w:asciiTheme="minorHAnsi" w:hAnsiTheme="minorHAnsi"/>
          <w:b/>
          <w:sz w:val="22"/>
          <w:szCs w:val="22"/>
        </w:rPr>
        <w:lastRenderedPageBreak/>
        <w:t xml:space="preserve">3. </w:t>
      </w:r>
      <w:r w:rsidR="001B7F50" w:rsidRPr="00DF44D1">
        <w:rPr>
          <w:rFonts w:asciiTheme="minorHAnsi" w:hAnsiTheme="minorHAnsi"/>
          <w:b/>
          <w:sz w:val="22"/>
          <w:szCs w:val="22"/>
        </w:rPr>
        <w:t>Principles</w:t>
      </w:r>
    </w:p>
    <w:p w:rsidR="00FF3C73" w:rsidRPr="00C05F9D" w:rsidRDefault="001B7F50" w:rsidP="0080340F">
      <w:pPr>
        <w:rPr>
          <w:rFonts w:asciiTheme="minorHAnsi" w:hAnsiTheme="minorHAnsi"/>
          <w:sz w:val="22"/>
          <w:szCs w:val="22"/>
        </w:rPr>
      </w:pPr>
      <w:r w:rsidRPr="00C05F9D">
        <w:rPr>
          <w:rFonts w:asciiTheme="minorHAnsi" w:hAnsiTheme="minorHAnsi"/>
          <w:sz w:val="22"/>
          <w:szCs w:val="22"/>
        </w:rPr>
        <w:t>The process to appoint a head of department is guided by the following p</w:t>
      </w:r>
      <w:r w:rsidR="006D50B7" w:rsidRPr="00C05F9D">
        <w:rPr>
          <w:rFonts w:asciiTheme="minorHAnsi" w:hAnsiTheme="minorHAnsi"/>
          <w:sz w:val="22"/>
          <w:szCs w:val="22"/>
        </w:rPr>
        <w:t>rinciples</w:t>
      </w:r>
      <w:r w:rsidRPr="00C05F9D">
        <w:rPr>
          <w:rFonts w:asciiTheme="minorHAnsi" w:hAnsiTheme="minorHAnsi"/>
          <w:sz w:val="22"/>
          <w:szCs w:val="22"/>
        </w:rPr>
        <w:t>:</w:t>
      </w:r>
    </w:p>
    <w:p w:rsidR="00AE241D" w:rsidRPr="00C05F9D" w:rsidRDefault="00AE241D" w:rsidP="001B7F50">
      <w:pPr>
        <w:pStyle w:val="ListParagraph"/>
        <w:numPr>
          <w:ilvl w:val="0"/>
          <w:numId w:val="9"/>
        </w:numPr>
        <w:rPr>
          <w:rFonts w:asciiTheme="minorHAnsi" w:hAnsiTheme="minorHAnsi"/>
          <w:sz w:val="22"/>
          <w:szCs w:val="22"/>
        </w:rPr>
      </w:pPr>
      <w:r w:rsidRPr="00C05F9D">
        <w:rPr>
          <w:rFonts w:asciiTheme="minorHAnsi" w:hAnsiTheme="minorHAnsi"/>
          <w:sz w:val="22"/>
          <w:szCs w:val="22"/>
        </w:rPr>
        <w:t>It is recognised that academic departments differ in a variety of ways and that the role of HoD may also differ. The process of appointing a HOD may need to reflect these differences. Notwithstanding this, due consideration needs to be given to the principles listed below;</w:t>
      </w:r>
    </w:p>
    <w:p w:rsidR="006D50B7" w:rsidRPr="00C05F9D" w:rsidRDefault="006D50B7" w:rsidP="001B7F50">
      <w:pPr>
        <w:pStyle w:val="ListParagraph"/>
        <w:numPr>
          <w:ilvl w:val="0"/>
          <w:numId w:val="9"/>
        </w:numPr>
        <w:rPr>
          <w:rFonts w:asciiTheme="minorHAnsi" w:hAnsiTheme="minorHAnsi"/>
          <w:sz w:val="22"/>
          <w:szCs w:val="22"/>
        </w:rPr>
      </w:pPr>
      <w:r w:rsidRPr="00C05F9D">
        <w:rPr>
          <w:rFonts w:asciiTheme="minorHAnsi" w:hAnsiTheme="minorHAnsi"/>
          <w:sz w:val="22"/>
          <w:szCs w:val="22"/>
        </w:rPr>
        <w:t>Wide-based consultation</w:t>
      </w:r>
      <w:r w:rsidR="00AE241D" w:rsidRPr="00C05F9D">
        <w:rPr>
          <w:rFonts w:asciiTheme="minorHAnsi" w:hAnsiTheme="minorHAnsi"/>
          <w:sz w:val="22"/>
          <w:szCs w:val="22"/>
        </w:rPr>
        <w:t>, initiated by the D</w:t>
      </w:r>
      <w:r w:rsidR="00F67D11" w:rsidRPr="00C05F9D">
        <w:rPr>
          <w:rFonts w:asciiTheme="minorHAnsi" w:hAnsiTheme="minorHAnsi"/>
          <w:sz w:val="22"/>
          <w:szCs w:val="22"/>
        </w:rPr>
        <w:t>ean,</w:t>
      </w:r>
      <w:r w:rsidRPr="00C05F9D">
        <w:rPr>
          <w:rFonts w:asciiTheme="minorHAnsi" w:hAnsiTheme="minorHAnsi"/>
          <w:sz w:val="22"/>
          <w:szCs w:val="22"/>
        </w:rPr>
        <w:t xml:space="preserve"> </w:t>
      </w:r>
      <w:r w:rsidR="00AE241D" w:rsidRPr="00C05F9D">
        <w:rPr>
          <w:rFonts w:asciiTheme="minorHAnsi" w:hAnsiTheme="minorHAnsi"/>
          <w:sz w:val="22"/>
          <w:szCs w:val="22"/>
        </w:rPr>
        <w:t xml:space="preserve">is </w:t>
      </w:r>
      <w:r w:rsidRPr="00C05F9D">
        <w:rPr>
          <w:rFonts w:asciiTheme="minorHAnsi" w:hAnsiTheme="minorHAnsi"/>
          <w:sz w:val="22"/>
          <w:szCs w:val="22"/>
        </w:rPr>
        <w:t>undertaken</w:t>
      </w:r>
      <w:r w:rsidR="00AE241D" w:rsidRPr="00C05F9D">
        <w:rPr>
          <w:rFonts w:asciiTheme="minorHAnsi" w:hAnsiTheme="minorHAnsi"/>
          <w:sz w:val="22"/>
          <w:szCs w:val="22"/>
        </w:rPr>
        <w:t xml:space="preserve"> with departmental members as well as th</w:t>
      </w:r>
      <w:r w:rsidRPr="00C05F9D">
        <w:rPr>
          <w:rFonts w:asciiTheme="minorHAnsi" w:hAnsiTheme="minorHAnsi"/>
          <w:sz w:val="22"/>
          <w:szCs w:val="22"/>
        </w:rPr>
        <w:t>e Vice-Chancellor/Deputy Vice-Chancellor</w:t>
      </w:r>
      <w:r w:rsidR="001B7F50" w:rsidRPr="00C05F9D">
        <w:rPr>
          <w:rFonts w:asciiTheme="minorHAnsi" w:hAnsiTheme="minorHAnsi"/>
          <w:sz w:val="22"/>
          <w:szCs w:val="22"/>
        </w:rPr>
        <w:t>: Academic and Student Affairs</w:t>
      </w:r>
      <w:r w:rsidR="00F67D11" w:rsidRPr="00C05F9D">
        <w:rPr>
          <w:rFonts w:asciiTheme="minorHAnsi" w:hAnsiTheme="minorHAnsi"/>
          <w:sz w:val="22"/>
          <w:szCs w:val="22"/>
        </w:rPr>
        <w:t>/Deputy Vice-Chancellor: Research and Development</w:t>
      </w:r>
      <w:r w:rsidR="000E464E" w:rsidRPr="00C05F9D">
        <w:rPr>
          <w:rFonts w:asciiTheme="minorHAnsi" w:hAnsiTheme="minorHAnsi"/>
          <w:sz w:val="22"/>
          <w:szCs w:val="22"/>
        </w:rPr>
        <w:t xml:space="preserve"> and Director: Human Resources</w:t>
      </w:r>
      <w:r w:rsidR="00A779C8" w:rsidRPr="00C05F9D">
        <w:rPr>
          <w:rFonts w:asciiTheme="minorHAnsi" w:hAnsiTheme="minorHAnsi"/>
          <w:sz w:val="22"/>
          <w:szCs w:val="22"/>
        </w:rPr>
        <w:t>. Where the Dean believes that this is not necessary, a motivation can be made to the Deputy Vice-Chancellor: Academic and Student Affairs to deviate from this process</w:t>
      </w:r>
      <w:r w:rsidR="00AE241D" w:rsidRPr="00C05F9D">
        <w:rPr>
          <w:rFonts w:asciiTheme="minorHAnsi" w:hAnsiTheme="minorHAnsi"/>
          <w:sz w:val="22"/>
          <w:szCs w:val="22"/>
        </w:rPr>
        <w:t>;</w:t>
      </w:r>
    </w:p>
    <w:p w:rsidR="006D50B7" w:rsidRPr="00C05F9D" w:rsidRDefault="003C123D" w:rsidP="001B7F50">
      <w:pPr>
        <w:pStyle w:val="ListParagraph"/>
        <w:numPr>
          <w:ilvl w:val="0"/>
          <w:numId w:val="9"/>
        </w:numPr>
        <w:rPr>
          <w:rFonts w:asciiTheme="minorHAnsi" w:hAnsiTheme="minorHAnsi"/>
          <w:sz w:val="22"/>
          <w:szCs w:val="22"/>
        </w:rPr>
      </w:pPr>
      <w:r w:rsidRPr="00C05F9D">
        <w:rPr>
          <w:rFonts w:asciiTheme="minorHAnsi" w:hAnsiTheme="minorHAnsi"/>
          <w:sz w:val="22"/>
          <w:szCs w:val="22"/>
        </w:rPr>
        <w:t xml:space="preserve">If a vacancy exists in the department, the possibility of </w:t>
      </w:r>
      <w:r w:rsidR="00AE241D" w:rsidRPr="00C05F9D">
        <w:rPr>
          <w:rFonts w:asciiTheme="minorHAnsi" w:hAnsiTheme="minorHAnsi"/>
          <w:sz w:val="22"/>
          <w:szCs w:val="22"/>
        </w:rPr>
        <w:t xml:space="preserve">recruiting an </w:t>
      </w:r>
      <w:r w:rsidRPr="00C05F9D">
        <w:rPr>
          <w:rFonts w:asciiTheme="minorHAnsi" w:hAnsiTheme="minorHAnsi"/>
          <w:sz w:val="22"/>
          <w:szCs w:val="22"/>
        </w:rPr>
        <w:t>e</w:t>
      </w:r>
      <w:r w:rsidR="00AE241D" w:rsidRPr="00C05F9D">
        <w:rPr>
          <w:rFonts w:asciiTheme="minorHAnsi" w:hAnsiTheme="minorHAnsi"/>
          <w:sz w:val="22"/>
          <w:szCs w:val="22"/>
        </w:rPr>
        <w:t xml:space="preserve">xternal applicant </w:t>
      </w:r>
      <w:r w:rsidR="006D50B7" w:rsidRPr="00C05F9D">
        <w:rPr>
          <w:rFonts w:asciiTheme="minorHAnsi" w:hAnsiTheme="minorHAnsi"/>
          <w:sz w:val="22"/>
          <w:szCs w:val="22"/>
        </w:rPr>
        <w:t xml:space="preserve">for HoD </w:t>
      </w:r>
      <w:r w:rsidR="00AE241D" w:rsidRPr="00C05F9D">
        <w:rPr>
          <w:rFonts w:asciiTheme="minorHAnsi" w:hAnsiTheme="minorHAnsi"/>
          <w:sz w:val="22"/>
          <w:szCs w:val="22"/>
        </w:rPr>
        <w:t xml:space="preserve">role at the same time requires </w:t>
      </w:r>
      <w:r w:rsidR="006D50B7" w:rsidRPr="00C05F9D">
        <w:rPr>
          <w:rFonts w:asciiTheme="minorHAnsi" w:hAnsiTheme="minorHAnsi"/>
          <w:sz w:val="22"/>
          <w:szCs w:val="22"/>
        </w:rPr>
        <w:t>consider</w:t>
      </w:r>
      <w:r w:rsidR="00AE241D" w:rsidRPr="00C05F9D">
        <w:rPr>
          <w:rFonts w:asciiTheme="minorHAnsi" w:hAnsiTheme="minorHAnsi"/>
          <w:sz w:val="22"/>
          <w:szCs w:val="22"/>
        </w:rPr>
        <w:t>ation;</w:t>
      </w:r>
    </w:p>
    <w:p w:rsidR="006D50B7" w:rsidRPr="00C05F9D" w:rsidRDefault="006D50B7" w:rsidP="001B7F50">
      <w:pPr>
        <w:pStyle w:val="ListParagraph"/>
        <w:numPr>
          <w:ilvl w:val="0"/>
          <w:numId w:val="9"/>
        </w:numPr>
        <w:rPr>
          <w:rFonts w:asciiTheme="minorHAnsi" w:hAnsiTheme="minorHAnsi"/>
          <w:sz w:val="22"/>
          <w:szCs w:val="22"/>
        </w:rPr>
      </w:pPr>
      <w:r w:rsidRPr="00C05F9D">
        <w:rPr>
          <w:rFonts w:asciiTheme="minorHAnsi" w:hAnsiTheme="minorHAnsi"/>
          <w:sz w:val="22"/>
          <w:szCs w:val="22"/>
        </w:rPr>
        <w:t xml:space="preserve">All members of staff (academic and support) </w:t>
      </w:r>
      <w:r w:rsidR="00AE241D" w:rsidRPr="00C05F9D">
        <w:rPr>
          <w:rFonts w:asciiTheme="minorHAnsi" w:hAnsiTheme="minorHAnsi"/>
          <w:sz w:val="22"/>
          <w:szCs w:val="22"/>
        </w:rPr>
        <w:t>usually</w:t>
      </w:r>
      <w:r w:rsidRPr="00C05F9D">
        <w:rPr>
          <w:rFonts w:asciiTheme="minorHAnsi" w:hAnsiTheme="minorHAnsi"/>
          <w:sz w:val="22"/>
          <w:szCs w:val="22"/>
        </w:rPr>
        <w:t xml:space="preserve"> participate in the process</w:t>
      </w:r>
      <w:r w:rsidR="00AE241D" w:rsidRPr="00C05F9D">
        <w:rPr>
          <w:rFonts w:asciiTheme="minorHAnsi" w:hAnsiTheme="minorHAnsi"/>
          <w:sz w:val="22"/>
          <w:szCs w:val="22"/>
        </w:rPr>
        <w:t>;</w:t>
      </w:r>
    </w:p>
    <w:p w:rsidR="00AE241D" w:rsidRPr="00C05F9D" w:rsidRDefault="00AE241D" w:rsidP="001B7F50">
      <w:pPr>
        <w:pStyle w:val="ListParagraph"/>
        <w:numPr>
          <w:ilvl w:val="0"/>
          <w:numId w:val="9"/>
        </w:numPr>
        <w:rPr>
          <w:rFonts w:asciiTheme="minorHAnsi" w:hAnsiTheme="minorHAnsi"/>
          <w:sz w:val="22"/>
          <w:szCs w:val="22"/>
        </w:rPr>
      </w:pPr>
      <w:r w:rsidRPr="00C05F9D">
        <w:rPr>
          <w:rFonts w:asciiTheme="minorHAnsi" w:hAnsiTheme="minorHAnsi"/>
          <w:sz w:val="22"/>
          <w:szCs w:val="22"/>
        </w:rPr>
        <w:t xml:space="preserve">The process of appointing a HoD usually </w:t>
      </w:r>
      <w:r w:rsidR="00BF17B7" w:rsidRPr="00C05F9D">
        <w:rPr>
          <w:rFonts w:asciiTheme="minorHAnsi" w:hAnsiTheme="minorHAnsi"/>
          <w:sz w:val="22"/>
          <w:szCs w:val="22"/>
        </w:rPr>
        <w:t>provides</w:t>
      </w:r>
      <w:r w:rsidRPr="00C05F9D">
        <w:rPr>
          <w:rFonts w:asciiTheme="minorHAnsi" w:hAnsiTheme="minorHAnsi"/>
          <w:sz w:val="22"/>
          <w:szCs w:val="22"/>
        </w:rPr>
        <w:t xml:space="preserve"> an opportunity for applicants to state their case and </w:t>
      </w:r>
      <w:r w:rsidR="00BF17B7" w:rsidRPr="00C05F9D">
        <w:rPr>
          <w:rFonts w:asciiTheme="minorHAnsi" w:hAnsiTheme="minorHAnsi"/>
          <w:sz w:val="22"/>
          <w:szCs w:val="22"/>
        </w:rPr>
        <w:t xml:space="preserve">to table </w:t>
      </w:r>
      <w:r w:rsidRPr="00C05F9D">
        <w:rPr>
          <w:rFonts w:asciiTheme="minorHAnsi" w:hAnsiTheme="minorHAnsi"/>
          <w:sz w:val="22"/>
          <w:szCs w:val="22"/>
        </w:rPr>
        <w:t>evidence of their suitability for the role</w:t>
      </w:r>
      <w:r w:rsidR="00FB7422" w:rsidRPr="00C05F9D">
        <w:rPr>
          <w:rFonts w:asciiTheme="minorHAnsi" w:hAnsiTheme="minorHAnsi"/>
          <w:sz w:val="22"/>
          <w:szCs w:val="22"/>
        </w:rPr>
        <w:t>. In turn, staff have an opportunity to engage with the applicant</w:t>
      </w:r>
      <w:r w:rsidRPr="00C05F9D">
        <w:rPr>
          <w:rFonts w:asciiTheme="minorHAnsi" w:hAnsiTheme="minorHAnsi"/>
          <w:sz w:val="22"/>
          <w:szCs w:val="22"/>
        </w:rPr>
        <w:t xml:space="preserve">; </w:t>
      </w:r>
      <w:r w:rsidR="00BF17B7" w:rsidRPr="00C05F9D">
        <w:rPr>
          <w:rFonts w:asciiTheme="minorHAnsi" w:hAnsiTheme="minorHAnsi"/>
          <w:sz w:val="22"/>
          <w:szCs w:val="22"/>
        </w:rPr>
        <w:t xml:space="preserve"> </w:t>
      </w:r>
    </w:p>
    <w:p w:rsidR="006D50B7" w:rsidRPr="00C05F9D" w:rsidRDefault="001B7F50" w:rsidP="001B7F50">
      <w:pPr>
        <w:pStyle w:val="ListParagraph"/>
        <w:numPr>
          <w:ilvl w:val="0"/>
          <w:numId w:val="9"/>
        </w:numPr>
        <w:rPr>
          <w:rFonts w:asciiTheme="minorHAnsi" w:hAnsiTheme="minorHAnsi"/>
          <w:sz w:val="22"/>
          <w:szCs w:val="22"/>
        </w:rPr>
      </w:pPr>
      <w:r w:rsidRPr="00C05F9D">
        <w:rPr>
          <w:rFonts w:asciiTheme="minorHAnsi" w:hAnsiTheme="minorHAnsi"/>
          <w:sz w:val="22"/>
          <w:szCs w:val="22"/>
        </w:rPr>
        <w:t>E</w:t>
      </w:r>
      <w:r w:rsidR="006D50B7" w:rsidRPr="00C05F9D">
        <w:rPr>
          <w:rFonts w:asciiTheme="minorHAnsi" w:hAnsiTheme="minorHAnsi"/>
          <w:sz w:val="22"/>
          <w:szCs w:val="22"/>
        </w:rPr>
        <w:t xml:space="preserve">mployment equity and transformation </w:t>
      </w:r>
      <w:r w:rsidR="001D75B8" w:rsidRPr="00C05F9D">
        <w:rPr>
          <w:rFonts w:asciiTheme="minorHAnsi" w:hAnsiTheme="minorHAnsi"/>
          <w:sz w:val="22"/>
          <w:szCs w:val="22"/>
        </w:rPr>
        <w:t xml:space="preserve">considerations </w:t>
      </w:r>
      <w:r w:rsidR="00AE241D" w:rsidRPr="00C05F9D">
        <w:rPr>
          <w:rFonts w:asciiTheme="minorHAnsi" w:hAnsiTheme="minorHAnsi"/>
          <w:sz w:val="22"/>
          <w:szCs w:val="22"/>
        </w:rPr>
        <w:t>apply;</w:t>
      </w:r>
    </w:p>
    <w:p w:rsidR="006721F3" w:rsidRPr="00C05F9D" w:rsidRDefault="00AE241D" w:rsidP="001B7F50">
      <w:pPr>
        <w:pStyle w:val="ListParagraph"/>
        <w:numPr>
          <w:ilvl w:val="0"/>
          <w:numId w:val="9"/>
        </w:numPr>
        <w:rPr>
          <w:rFonts w:asciiTheme="minorHAnsi" w:hAnsiTheme="minorHAnsi"/>
          <w:sz w:val="22"/>
          <w:szCs w:val="22"/>
        </w:rPr>
      </w:pPr>
      <w:r w:rsidRPr="00C05F9D">
        <w:rPr>
          <w:rFonts w:asciiTheme="minorHAnsi" w:hAnsiTheme="minorHAnsi"/>
          <w:sz w:val="22"/>
          <w:szCs w:val="22"/>
        </w:rPr>
        <w:t>The Dean may, as is deemed appropriate to the context and dynamics of the department,  utilise a r</w:t>
      </w:r>
      <w:r w:rsidR="006721F3" w:rsidRPr="00C05F9D">
        <w:rPr>
          <w:rFonts w:asciiTheme="minorHAnsi" w:hAnsiTheme="minorHAnsi"/>
          <w:sz w:val="22"/>
          <w:szCs w:val="22"/>
        </w:rPr>
        <w:t>ange of mechanisms to det</w:t>
      </w:r>
      <w:r w:rsidR="005C5564" w:rsidRPr="00C05F9D">
        <w:rPr>
          <w:rFonts w:asciiTheme="minorHAnsi" w:hAnsiTheme="minorHAnsi"/>
          <w:sz w:val="22"/>
          <w:szCs w:val="22"/>
        </w:rPr>
        <w:t>ermine which applicants</w:t>
      </w:r>
      <w:r w:rsidR="006721F3" w:rsidRPr="00C05F9D">
        <w:rPr>
          <w:rFonts w:asciiTheme="minorHAnsi" w:hAnsiTheme="minorHAnsi"/>
          <w:sz w:val="22"/>
          <w:szCs w:val="22"/>
        </w:rPr>
        <w:t xml:space="preserve"> for HoD </w:t>
      </w:r>
      <w:r w:rsidRPr="00C05F9D">
        <w:rPr>
          <w:rFonts w:asciiTheme="minorHAnsi" w:hAnsiTheme="minorHAnsi"/>
          <w:sz w:val="22"/>
          <w:szCs w:val="22"/>
        </w:rPr>
        <w:t>are</w:t>
      </w:r>
      <w:r w:rsidR="006721F3" w:rsidRPr="00C05F9D">
        <w:rPr>
          <w:rFonts w:asciiTheme="minorHAnsi" w:hAnsiTheme="minorHAnsi"/>
          <w:sz w:val="22"/>
          <w:szCs w:val="22"/>
        </w:rPr>
        <w:t xml:space="preserve"> deem</w:t>
      </w:r>
      <w:r w:rsidRPr="00C05F9D">
        <w:rPr>
          <w:rFonts w:asciiTheme="minorHAnsi" w:hAnsiTheme="minorHAnsi"/>
          <w:sz w:val="22"/>
          <w:szCs w:val="22"/>
        </w:rPr>
        <w:t>ed un/suitable ;</w:t>
      </w:r>
    </w:p>
    <w:p w:rsidR="002075C5" w:rsidRPr="00C05F9D" w:rsidRDefault="001D75B8" w:rsidP="00C05F9D">
      <w:pPr>
        <w:pStyle w:val="ListParagraph"/>
        <w:numPr>
          <w:ilvl w:val="0"/>
          <w:numId w:val="9"/>
        </w:numPr>
        <w:rPr>
          <w:rFonts w:asciiTheme="minorHAnsi" w:hAnsiTheme="minorHAnsi"/>
          <w:sz w:val="22"/>
          <w:szCs w:val="22"/>
        </w:rPr>
      </w:pPr>
      <w:r w:rsidRPr="00C05F9D">
        <w:rPr>
          <w:rFonts w:asciiTheme="minorHAnsi" w:hAnsiTheme="minorHAnsi"/>
          <w:sz w:val="22"/>
          <w:szCs w:val="22"/>
        </w:rPr>
        <w:t xml:space="preserve">A recommendation is made by the Dean after consideration of </w:t>
      </w:r>
      <w:r w:rsidR="00171DE5" w:rsidRPr="00C05F9D">
        <w:rPr>
          <w:rFonts w:asciiTheme="minorHAnsi" w:hAnsiTheme="minorHAnsi"/>
          <w:sz w:val="22"/>
          <w:szCs w:val="22"/>
        </w:rPr>
        <w:t xml:space="preserve">the input of staff, the </w:t>
      </w:r>
      <w:r w:rsidRPr="00C05F9D">
        <w:rPr>
          <w:rFonts w:asciiTheme="minorHAnsi" w:hAnsiTheme="minorHAnsi"/>
          <w:sz w:val="22"/>
          <w:szCs w:val="22"/>
        </w:rPr>
        <w:t xml:space="preserve">information presented by the candidates, the </w:t>
      </w:r>
      <w:r w:rsidR="00171DE5" w:rsidRPr="00C05F9D">
        <w:rPr>
          <w:rFonts w:asciiTheme="minorHAnsi" w:hAnsiTheme="minorHAnsi"/>
          <w:sz w:val="22"/>
          <w:szCs w:val="22"/>
        </w:rPr>
        <w:t>needs of the department as well as institutional imperatives</w:t>
      </w:r>
      <w:r w:rsidRPr="00C05F9D">
        <w:rPr>
          <w:rFonts w:asciiTheme="minorHAnsi" w:hAnsiTheme="minorHAnsi"/>
          <w:sz w:val="22"/>
          <w:szCs w:val="22"/>
        </w:rPr>
        <w:t xml:space="preserve">. </w:t>
      </w:r>
      <w:r w:rsidR="00C05F9D">
        <w:rPr>
          <w:rFonts w:asciiTheme="minorHAnsi" w:hAnsiTheme="minorHAnsi"/>
          <w:sz w:val="22"/>
          <w:szCs w:val="22"/>
        </w:rPr>
        <w:t xml:space="preserve">No decision is taken solely on the </w:t>
      </w:r>
      <w:r w:rsidR="00C71D78">
        <w:rPr>
          <w:rFonts w:asciiTheme="minorHAnsi" w:hAnsiTheme="minorHAnsi"/>
          <w:sz w:val="22"/>
          <w:szCs w:val="22"/>
        </w:rPr>
        <w:t>input of staff</w:t>
      </w:r>
      <w:r w:rsidR="00171DE5" w:rsidRPr="00C05F9D">
        <w:rPr>
          <w:rFonts w:asciiTheme="minorHAnsi" w:hAnsiTheme="minorHAnsi"/>
          <w:sz w:val="22"/>
          <w:szCs w:val="22"/>
        </w:rPr>
        <w:t>;</w:t>
      </w:r>
    </w:p>
    <w:p w:rsidR="006721F3" w:rsidRPr="00C05F9D" w:rsidRDefault="00654A98" w:rsidP="001B7F50">
      <w:pPr>
        <w:pStyle w:val="ListParagraph"/>
        <w:numPr>
          <w:ilvl w:val="0"/>
          <w:numId w:val="9"/>
        </w:numPr>
        <w:rPr>
          <w:rFonts w:asciiTheme="minorHAnsi" w:hAnsiTheme="minorHAnsi"/>
          <w:sz w:val="22"/>
          <w:szCs w:val="22"/>
        </w:rPr>
      </w:pPr>
      <w:r w:rsidRPr="00C05F9D">
        <w:rPr>
          <w:rFonts w:asciiTheme="minorHAnsi" w:hAnsiTheme="minorHAnsi"/>
          <w:sz w:val="22"/>
          <w:szCs w:val="22"/>
        </w:rPr>
        <w:t>The Dean must be able to defend the particular process followed (where this deviates from the recommended process below) as well as the recommendation made.</w:t>
      </w:r>
    </w:p>
    <w:p w:rsidR="006721F3" w:rsidRPr="00C05F9D" w:rsidRDefault="006721F3" w:rsidP="0080340F">
      <w:pPr>
        <w:rPr>
          <w:rFonts w:asciiTheme="minorHAnsi" w:hAnsiTheme="minorHAnsi"/>
          <w:sz w:val="22"/>
          <w:szCs w:val="22"/>
        </w:rPr>
      </w:pPr>
    </w:p>
    <w:p w:rsidR="001B7F50" w:rsidRPr="00C05F9D" w:rsidRDefault="001B7F50" w:rsidP="0080340F">
      <w:pPr>
        <w:rPr>
          <w:rFonts w:asciiTheme="minorHAnsi" w:hAnsiTheme="minorHAnsi"/>
          <w:sz w:val="22"/>
          <w:szCs w:val="22"/>
        </w:rPr>
      </w:pPr>
    </w:p>
    <w:p w:rsidR="001B7F50" w:rsidRPr="00C05F9D" w:rsidRDefault="00654A98" w:rsidP="0080340F">
      <w:pPr>
        <w:rPr>
          <w:rFonts w:asciiTheme="minorHAnsi" w:hAnsiTheme="minorHAnsi"/>
          <w:b/>
          <w:sz w:val="22"/>
          <w:szCs w:val="22"/>
        </w:rPr>
      </w:pPr>
      <w:r w:rsidRPr="00C05F9D">
        <w:rPr>
          <w:rFonts w:asciiTheme="minorHAnsi" w:hAnsiTheme="minorHAnsi"/>
          <w:b/>
          <w:sz w:val="22"/>
          <w:szCs w:val="22"/>
        </w:rPr>
        <w:t>4. P</w:t>
      </w:r>
      <w:r w:rsidR="001B7F50" w:rsidRPr="00C05F9D">
        <w:rPr>
          <w:rFonts w:asciiTheme="minorHAnsi" w:hAnsiTheme="minorHAnsi"/>
          <w:b/>
          <w:sz w:val="22"/>
          <w:szCs w:val="22"/>
        </w:rPr>
        <w:t>rocess</w:t>
      </w:r>
    </w:p>
    <w:p w:rsidR="006D50B7" w:rsidRPr="00C05F9D" w:rsidRDefault="006D0CF8" w:rsidP="0080340F">
      <w:pPr>
        <w:rPr>
          <w:rFonts w:asciiTheme="minorHAnsi" w:hAnsiTheme="minorHAnsi"/>
          <w:sz w:val="22"/>
          <w:szCs w:val="22"/>
        </w:rPr>
      </w:pPr>
      <w:r w:rsidRPr="00C05F9D">
        <w:rPr>
          <w:rFonts w:asciiTheme="minorHAnsi" w:hAnsiTheme="minorHAnsi"/>
          <w:sz w:val="22"/>
          <w:szCs w:val="22"/>
        </w:rPr>
        <w:t>Steps in the p</w:t>
      </w:r>
      <w:r w:rsidR="006D50B7" w:rsidRPr="00C05F9D">
        <w:rPr>
          <w:rFonts w:asciiTheme="minorHAnsi" w:hAnsiTheme="minorHAnsi"/>
          <w:sz w:val="22"/>
          <w:szCs w:val="22"/>
        </w:rPr>
        <w:t>ro</w:t>
      </w:r>
      <w:r w:rsidR="00654A98" w:rsidRPr="00C05F9D">
        <w:rPr>
          <w:rFonts w:asciiTheme="minorHAnsi" w:hAnsiTheme="minorHAnsi"/>
          <w:sz w:val="22"/>
          <w:szCs w:val="22"/>
        </w:rPr>
        <w:t>c</w:t>
      </w:r>
      <w:r w:rsidR="006D50B7" w:rsidRPr="00C05F9D">
        <w:rPr>
          <w:rFonts w:asciiTheme="minorHAnsi" w:hAnsiTheme="minorHAnsi"/>
          <w:sz w:val="22"/>
          <w:szCs w:val="22"/>
        </w:rPr>
        <w:t>ess include:</w:t>
      </w:r>
    </w:p>
    <w:p w:rsidR="00D0230A" w:rsidRPr="00C05F9D" w:rsidRDefault="00654A98"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The Dean of the Faculty initiates this process, ideally</w:t>
      </w:r>
      <w:r w:rsidR="00D0230A" w:rsidRPr="00C05F9D">
        <w:rPr>
          <w:rFonts w:asciiTheme="minorHAnsi" w:hAnsiTheme="minorHAnsi"/>
          <w:sz w:val="22"/>
          <w:szCs w:val="22"/>
        </w:rPr>
        <w:t xml:space="preserve"> more than 6 months bef</w:t>
      </w:r>
      <w:r w:rsidRPr="00C05F9D">
        <w:rPr>
          <w:rFonts w:asciiTheme="minorHAnsi" w:hAnsiTheme="minorHAnsi"/>
          <w:sz w:val="22"/>
          <w:szCs w:val="22"/>
        </w:rPr>
        <w:t>ore the end of the current HoD’s term;</w:t>
      </w:r>
    </w:p>
    <w:p w:rsidR="00D0230A" w:rsidRPr="00C05F9D" w:rsidRDefault="00D0230A"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 xml:space="preserve">The Dean </w:t>
      </w:r>
      <w:r w:rsidR="00693D31" w:rsidRPr="00C05F9D">
        <w:rPr>
          <w:rFonts w:asciiTheme="minorHAnsi" w:hAnsiTheme="minorHAnsi"/>
          <w:sz w:val="22"/>
          <w:szCs w:val="22"/>
        </w:rPr>
        <w:t>may</w:t>
      </w:r>
      <w:r w:rsidRPr="00C05F9D">
        <w:rPr>
          <w:rFonts w:asciiTheme="minorHAnsi" w:hAnsiTheme="minorHAnsi"/>
          <w:sz w:val="22"/>
          <w:szCs w:val="22"/>
        </w:rPr>
        <w:t xml:space="preserve"> consult with the Vice-Chancellor/Deputy Vice-Chancellor: Academic and Student Affairs, </w:t>
      </w:r>
      <w:r w:rsidR="00F67D11" w:rsidRPr="00C05F9D">
        <w:rPr>
          <w:rFonts w:asciiTheme="minorHAnsi" w:hAnsiTheme="minorHAnsi"/>
          <w:sz w:val="22"/>
          <w:szCs w:val="22"/>
        </w:rPr>
        <w:t xml:space="preserve">Deputy Vice-Chancellor: Research and Development </w:t>
      </w:r>
      <w:r w:rsidRPr="00C05F9D">
        <w:rPr>
          <w:rFonts w:asciiTheme="minorHAnsi" w:hAnsiTheme="minorHAnsi"/>
          <w:sz w:val="22"/>
          <w:szCs w:val="22"/>
        </w:rPr>
        <w:t>and Director: Human Resources to consider the specific department’s concerns</w:t>
      </w:r>
      <w:r w:rsidR="00654A98" w:rsidRPr="00C05F9D">
        <w:rPr>
          <w:rFonts w:asciiTheme="minorHAnsi" w:hAnsiTheme="minorHAnsi"/>
          <w:sz w:val="22"/>
          <w:szCs w:val="22"/>
        </w:rPr>
        <w:t xml:space="preserve"> and needs and staffing dynamics</w:t>
      </w:r>
      <w:r w:rsidR="00755885" w:rsidRPr="00C05F9D">
        <w:rPr>
          <w:rFonts w:asciiTheme="minorHAnsi" w:hAnsiTheme="minorHAnsi"/>
          <w:sz w:val="22"/>
          <w:szCs w:val="22"/>
        </w:rPr>
        <w:t>, including employment equity</w:t>
      </w:r>
      <w:r w:rsidR="00654A98" w:rsidRPr="00C05F9D">
        <w:rPr>
          <w:rFonts w:asciiTheme="minorHAnsi" w:hAnsiTheme="minorHAnsi"/>
          <w:sz w:val="22"/>
          <w:szCs w:val="22"/>
        </w:rPr>
        <w:t xml:space="preserve"> considerations;</w:t>
      </w:r>
    </w:p>
    <w:p w:rsidR="00D0230A" w:rsidRPr="00C05F9D" w:rsidRDefault="00D0230A"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The Dean meet</w:t>
      </w:r>
      <w:r w:rsidR="00654A98" w:rsidRPr="00C05F9D">
        <w:rPr>
          <w:rFonts w:asciiTheme="minorHAnsi" w:hAnsiTheme="minorHAnsi"/>
          <w:sz w:val="22"/>
          <w:szCs w:val="22"/>
        </w:rPr>
        <w:t>s</w:t>
      </w:r>
      <w:r w:rsidRPr="00C05F9D">
        <w:rPr>
          <w:rFonts w:asciiTheme="minorHAnsi" w:hAnsiTheme="minorHAnsi"/>
          <w:sz w:val="22"/>
          <w:szCs w:val="22"/>
        </w:rPr>
        <w:t xml:space="preserve"> with </w:t>
      </w:r>
      <w:r w:rsidR="005321F3" w:rsidRPr="00C05F9D">
        <w:rPr>
          <w:rFonts w:asciiTheme="minorHAnsi" w:hAnsiTheme="minorHAnsi"/>
          <w:sz w:val="22"/>
          <w:szCs w:val="22"/>
        </w:rPr>
        <w:t xml:space="preserve">all staff of </w:t>
      </w:r>
      <w:r w:rsidRPr="00C05F9D">
        <w:rPr>
          <w:rFonts w:asciiTheme="minorHAnsi" w:hAnsiTheme="minorHAnsi"/>
          <w:sz w:val="22"/>
          <w:szCs w:val="22"/>
        </w:rPr>
        <w:t>the department to outline the role and responsibilities of the HoD, the equity profile and plan</w:t>
      </w:r>
      <w:r w:rsidR="00654A98" w:rsidRPr="00C05F9D">
        <w:rPr>
          <w:rFonts w:asciiTheme="minorHAnsi" w:hAnsiTheme="minorHAnsi"/>
          <w:sz w:val="22"/>
          <w:szCs w:val="22"/>
        </w:rPr>
        <w:t xml:space="preserve"> of the department</w:t>
      </w:r>
      <w:r w:rsidRPr="00C05F9D">
        <w:rPr>
          <w:rFonts w:asciiTheme="minorHAnsi" w:hAnsiTheme="minorHAnsi"/>
          <w:sz w:val="22"/>
          <w:szCs w:val="22"/>
        </w:rPr>
        <w:t>, and the academic considerations of the department, and to enc</w:t>
      </w:r>
      <w:r w:rsidR="005C5564" w:rsidRPr="00C05F9D">
        <w:rPr>
          <w:rFonts w:asciiTheme="minorHAnsi" w:hAnsiTheme="minorHAnsi"/>
          <w:sz w:val="22"/>
          <w:szCs w:val="22"/>
        </w:rPr>
        <w:t>ourage applications</w:t>
      </w:r>
      <w:r w:rsidR="00654A98" w:rsidRPr="00C05F9D">
        <w:rPr>
          <w:rFonts w:asciiTheme="minorHAnsi" w:hAnsiTheme="minorHAnsi"/>
          <w:sz w:val="22"/>
          <w:szCs w:val="22"/>
        </w:rPr>
        <w:t xml:space="preserve"> from staff. The opportunity (i.e. a current vacant post or upcoming retirement) and need to look </w:t>
      </w:r>
      <w:r w:rsidRPr="00C05F9D">
        <w:rPr>
          <w:rFonts w:asciiTheme="minorHAnsi" w:hAnsiTheme="minorHAnsi"/>
          <w:sz w:val="22"/>
          <w:szCs w:val="22"/>
        </w:rPr>
        <w:t>external</w:t>
      </w:r>
      <w:r w:rsidR="00654A98" w:rsidRPr="00C05F9D">
        <w:rPr>
          <w:rFonts w:asciiTheme="minorHAnsi" w:hAnsiTheme="minorHAnsi"/>
          <w:sz w:val="22"/>
          <w:szCs w:val="22"/>
        </w:rPr>
        <w:t>ly</w:t>
      </w:r>
      <w:r w:rsidRPr="00C05F9D">
        <w:rPr>
          <w:rFonts w:asciiTheme="minorHAnsi" w:hAnsiTheme="minorHAnsi"/>
          <w:sz w:val="22"/>
          <w:szCs w:val="22"/>
        </w:rPr>
        <w:t xml:space="preserve"> </w:t>
      </w:r>
      <w:r w:rsidR="00654A98" w:rsidRPr="00C05F9D">
        <w:rPr>
          <w:rFonts w:asciiTheme="minorHAnsi" w:hAnsiTheme="minorHAnsi"/>
          <w:sz w:val="22"/>
          <w:szCs w:val="22"/>
        </w:rPr>
        <w:t>should be explored;</w:t>
      </w:r>
    </w:p>
    <w:p w:rsidR="00BC03A4" w:rsidRPr="00C05F9D" w:rsidRDefault="00D0230A"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The Dean m</w:t>
      </w:r>
      <w:r w:rsidR="005C5564" w:rsidRPr="00C05F9D">
        <w:rPr>
          <w:rFonts w:asciiTheme="minorHAnsi" w:hAnsiTheme="minorHAnsi"/>
          <w:sz w:val="22"/>
          <w:szCs w:val="22"/>
        </w:rPr>
        <w:t>eet</w:t>
      </w:r>
      <w:r w:rsidR="00654A98" w:rsidRPr="00C05F9D">
        <w:rPr>
          <w:rFonts w:asciiTheme="minorHAnsi" w:hAnsiTheme="minorHAnsi"/>
          <w:sz w:val="22"/>
          <w:szCs w:val="22"/>
        </w:rPr>
        <w:t>s</w:t>
      </w:r>
      <w:r w:rsidR="005C5564" w:rsidRPr="00C05F9D">
        <w:rPr>
          <w:rFonts w:asciiTheme="minorHAnsi" w:hAnsiTheme="minorHAnsi"/>
          <w:sz w:val="22"/>
          <w:szCs w:val="22"/>
        </w:rPr>
        <w:t xml:space="preserve"> with the applicants</w:t>
      </w:r>
      <w:r w:rsidRPr="00C05F9D">
        <w:rPr>
          <w:rFonts w:asciiTheme="minorHAnsi" w:hAnsiTheme="minorHAnsi"/>
          <w:sz w:val="22"/>
          <w:szCs w:val="22"/>
        </w:rPr>
        <w:t xml:space="preserve"> to discuss the position of HoD</w:t>
      </w:r>
      <w:r w:rsidR="00BC03A4" w:rsidRPr="00C05F9D">
        <w:rPr>
          <w:rFonts w:asciiTheme="minorHAnsi" w:hAnsiTheme="minorHAnsi"/>
          <w:sz w:val="22"/>
          <w:szCs w:val="22"/>
        </w:rPr>
        <w:t xml:space="preserve"> and to explore the impact on individual career trajectories;</w:t>
      </w:r>
    </w:p>
    <w:p w:rsidR="00BC03A4" w:rsidRPr="00C05F9D" w:rsidRDefault="00BC03A4"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Applicants usually make a presentation including a question and answer session to relevant staff of the department.  Such a presentation will usually include the applicant’s vision for the department. Applicants may also provide an overview of their leadership experience and contributions in other institutions and contexts. Where the applicant is a current HoD and there is no contestation, the Dean may elect to not have this presentation or</w:t>
      </w:r>
      <w:r w:rsidR="00FB7422" w:rsidRPr="00C05F9D">
        <w:rPr>
          <w:rFonts w:asciiTheme="minorHAnsi" w:hAnsiTheme="minorHAnsi"/>
          <w:sz w:val="22"/>
          <w:szCs w:val="22"/>
        </w:rPr>
        <w:t xml:space="preserve"> may elect to run a different process of engagement between the staff and HoD. Where there is only one applicant and this person is not the current HoD, the holding of the presentation is advised</w:t>
      </w:r>
      <w:r w:rsidRPr="00C05F9D">
        <w:rPr>
          <w:rFonts w:asciiTheme="minorHAnsi" w:hAnsiTheme="minorHAnsi"/>
          <w:sz w:val="22"/>
          <w:szCs w:val="22"/>
        </w:rPr>
        <w:t>;</w:t>
      </w:r>
    </w:p>
    <w:p w:rsidR="00D0230A" w:rsidRPr="00C05F9D" w:rsidRDefault="00BC03A4"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The Dean meets</w:t>
      </w:r>
      <w:r w:rsidR="00D0230A" w:rsidRPr="00C05F9D">
        <w:rPr>
          <w:rFonts w:asciiTheme="minorHAnsi" w:hAnsiTheme="minorHAnsi"/>
          <w:sz w:val="22"/>
          <w:szCs w:val="22"/>
        </w:rPr>
        <w:t xml:space="preserve"> with the staff of the department, </w:t>
      </w:r>
      <w:r w:rsidR="005C5564" w:rsidRPr="00C05F9D">
        <w:rPr>
          <w:rFonts w:asciiTheme="minorHAnsi" w:hAnsiTheme="minorHAnsi"/>
          <w:sz w:val="22"/>
          <w:szCs w:val="22"/>
        </w:rPr>
        <w:t xml:space="preserve">preferably </w:t>
      </w:r>
      <w:r w:rsidRPr="00C05F9D">
        <w:rPr>
          <w:rFonts w:asciiTheme="minorHAnsi" w:hAnsiTheme="minorHAnsi"/>
          <w:sz w:val="22"/>
          <w:szCs w:val="22"/>
        </w:rPr>
        <w:t xml:space="preserve">and usually </w:t>
      </w:r>
      <w:r w:rsidR="005C5564" w:rsidRPr="00C05F9D">
        <w:rPr>
          <w:rFonts w:asciiTheme="minorHAnsi" w:hAnsiTheme="minorHAnsi"/>
          <w:sz w:val="22"/>
          <w:szCs w:val="22"/>
        </w:rPr>
        <w:t>on an</w:t>
      </w:r>
      <w:r w:rsidR="00D0230A" w:rsidRPr="00C05F9D">
        <w:rPr>
          <w:rFonts w:asciiTheme="minorHAnsi" w:hAnsiTheme="minorHAnsi"/>
          <w:sz w:val="22"/>
          <w:szCs w:val="22"/>
        </w:rPr>
        <w:t xml:space="preserve"> individual basis</w:t>
      </w:r>
      <w:r w:rsidRPr="00C05F9D">
        <w:rPr>
          <w:rFonts w:asciiTheme="minorHAnsi" w:hAnsiTheme="minorHAnsi"/>
          <w:sz w:val="22"/>
          <w:szCs w:val="22"/>
        </w:rPr>
        <w:t xml:space="preserve"> to canvas views on the </w:t>
      </w:r>
      <w:r w:rsidR="002730FB" w:rsidRPr="00C05F9D">
        <w:rPr>
          <w:rFonts w:asciiTheme="minorHAnsi" w:hAnsiTheme="minorHAnsi"/>
          <w:sz w:val="22"/>
          <w:szCs w:val="22"/>
        </w:rPr>
        <w:t xml:space="preserve">suitability of </w:t>
      </w:r>
      <w:r w:rsidRPr="00C05F9D">
        <w:rPr>
          <w:rFonts w:asciiTheme="minorHAnsi" w:hAnsiTheme="minorHAnsi"/>
          <w:sz w:val="22"/>
          <w:szCs w:val="22"/>
        </w:rPr>
        <w:t>applicants</w:t>
      </w:r>
      <w:r w:rsidR="00B5141F" w:rsidRPr="00C05F9D">
        <w:rPr>
          <w:rFonts w:asciiTheme="minorHAnsi" w:hAnsiTheme="minorHAnsi"/>
          <w:sz w:val="22"/>
          <w:szCs w:val="22"/>
        </w:rPr>
        <w:t xml:space="preserve"> </w:t>
      </w:r>
      <w:r w:rsidR="00B5141F" w:rsidRPr="00C71D78">
        <w:rPr>
          <w:rFonts w:asciiTheme="minorHAnsi" w:hAnsiTheme="minorHAnsi"/>
          <w:sz w:val="22"/>
          <w:szCs w:val="22"/>
        </w:rPr>
        <w:t>or where the current HoD is the only applicant, the satisfaction with the current HoD continuing</w:t>
      </w:r>
      <w:r w:rsidRPr="00C71D78">
        <w:rPr>
          <w:rFonts w:asciiTheme="minorHAnsi" w:hAnsiTheme="minorHAnsi"/>
          <w:sz w:val="22"/>
          <w:szCs w:val="22"/>
        </w:rPr>
        <w:t>.</w:t>
      </w:r>
      <w:r w:rsidRPr="00C05F9D">
        <w:rPr>
          <w:rFonts w:asciiTheme="minorHAnsi" w:hAnsiTheme="minorHAnsi"/>
          <w:sz w:val="22"/>
          <w:szCs w:val="22"/>
        </w:rPr>
        <w:t xml:space="preserve"> However, </w:t>
      </w:r>
      <w:r w:rsidR="005C5564" w:rsidRPr="00C05F9D">
        <w:rPr>
          <w:rFonts w:asciiTheme="minorHAnsi" w:hAnsiTheme="minorHAnsi"/>
          <w:sz w:val="22"/>
          <w:szCs w:val="22"/>
        </w:rPr>
        <w:t>group</w:t>
      </w:r>
      <w:r w:rsidRPr="00C05F9D">
        <w:rPr>
          <w:rFonts w:asciiTheme="minorHAnsi" w:hAnsiTheme="minorHAnsi"/>
          <w:sz w:val="22"/>
          <w:szCs w:val="22"/>
        </w:rPr>
        <w:t xml:space="preserve"> discussions may also be feasible</w:t>
      </w:r>
      <w:r w:rsidR="002730FB" w:rsidRPr="00C05F9D">
        <w:rPr>
          <w:rFonts w:asciiTheme="minorHAnsi" w:hAnsiTheme="minorHAnsi"/>
          <w:sz w:val="22"/>
          <w:szCs w:val="22"/>
        </w:rPr>
        <w:t>. The Dean may elect to hold a secret ballot where necessary. The Dean may also elect to consult senior members of the Faculty on their views of a new HoD</w:t>
      </w:r>
      <w:r w:rsidRPr="00C05F9D">
        <w:rPr>
          <w:rFonts w:asciiTheme="minorHAnsi" w:hAnsiTheme="minorHAnsi"/>
          <w:sz w:val="22"/>
          <w:szCs w:val="22"/>
        </w:rPr>
        <w:t>;</w:t>
      </w:r>
    </w:p>
    <w:p w:rsidR="00693D31" w:rsidRPr="00C05F9D" w:rsidRDefault="00D0230A"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 xml:space="preserve">The </w:t>
      </w:r>
      <w:r w:rsidR="00755885" w:rsidRPr="00C05F9D">
        <w:rPr>
          <w:rFonts w:asciiTheme="minorHAnsi" w:hAnsiTheme="minorHAnsi"/>
          <w:sz w:val="22"/>
          <w:szCs w:val="22"/>
        </w:rPr>
        <w:t xml:space="preserve">Dean </w:t>
      </w:r>
      <w:r w:rsidRPr="00C05F9D">
        <w:rPr>
          <w:rFonts w:asciiTheme="minorHAnsi" w:hAnsiTheme="minorHAnsi"/>
          <w:sz w:val="22"/>
          <w:szCs w:val="22"/>
        </w:rPr>
        <w:t>consider</w:t>
      </w:r>
      <w:r w:rsidR="002730FB" w:rsidRPr="00C05F9D">
        <w:rPr>
          <w:rFonts w:asciiTheme="minorHAnsi" w:hAnsiTheme="minorHAnsi"/>
          <w:sz w:val="22"/>
          <w:szCs w:val="22"/>
        </w:rPr>
        <w:t>s</w:t>
      </w:r>
      <w:r w:rsidRPr="00C05F9D">
        <w:rPr>
          <w:rFonts w:asciiTheme="minorHAnsi" w:hAnsiTheme="minorHAnsi"/>
          <w:sz w:val="22"/>
          <w:szCs w:val="22"/>
        </w:rPr>
        <w:t xml:space="preserve"> </w:t>
      </w:r>
      <w:r w:rsidR="002730FB" w:rsidRPr="00C05F9D">
        <w:rPr>
          <w:rFonts w:asciiTheme="minorHAnsi" w:hAnsiTheme="minorHAnsi"/>
          <w:sz w:val="22"/>
          <w:szCs w:val="22"/>
        </w:rPr>
        <w:t xml:space="preserve">all the information on the </w:t>
      </w:r>
      <w:r w:rsidR="00B5141F" w:rsidRPr="00C05F9D">
        <w:rPr>
          <w:rFonts w:asciiTheme="minorHAnsi" w:hAnsiTheme="minorHAnsi"/>
          <w:sz w:val="22"/>
          <w:szCs w:val="22"/>
        </w:rPr>
        <w:t>applicants e.g.</w:t>
      </w:r>
      <w:r w:rsidR="002730FB" w:rsidRPr="00C05F9D">
        <w:rPr>
          <w:rFonts w:asciiTheme="minorHAnsi" w:hAnsiTheme="minorHAnsi"/>
          <w:sz w:val="22"/>
          <w:szCs w:val="22"/>
        </w:rPr>
        <w:t xml:space="preserve"> </w:t>
      </w:r>
      <w:r w:rsidRPr="00C05F9D">
        <w:rPr>
          <w:rFonts w:asciiTheme="minorHAnsi" w:hAnsiTheme="minorHAnsi"/>
          <w:sz w:val="22"/>
          <w:szCs w:val="22"/>
        </w:rPr>
        <w:t>presentations</w:t>
      </w:r>
      <w:r w:rsidR="00755885" w:rsidRPr="00C05F9D">
        <w:rPr>
          <w:rFonts w:asciiTheme="minorHAnsi" w:hAnsiTheme="minorHAnsi"/>
          <w:sz w:val="22"/>
          <w:szCs w:val="22"/>
        </w:rPr>
        <w:t xml:space="preserve">, </w:t>
      </w:r>
      <w:r w:rsidR="002730FB" w:rsidRPr="00C05F9D">
        <w:rPr>
          <w:rFonts w:asciiTheme="minorHAnsi" w:hAnsiTheme="minorHAnsi"/>
          <w:sz w:val="22"/>
          <w:szCs w:val="22"/>
        </w:rPr>
        <w:t>document on leadership experience, staff input/</w:t>
      </w:r>
      <w:r w:rsidR="00186306" w:rsidRPr="00C05F9D">
        <w:rPr>
          <w:rFonts w:asciiTheme="minorHAnsi" w:hAnsiTheme="minorHAnsi"/>
          <w:sz w:val="22"/>
          <w:szCs w:val="22"/>
        </w:rPr>
        <w:t>secret ballot</w:t>
      </w:r>
      <w:r w:rsidR="00F67D11" w:rsidRPr="00C05F9D">
        <w:rPr>
          <w:rFonts w:asciiTheme="minorHAnsi" w:hAnsiTheme="minorHAnsi"/>
          <w:sz w:val="22"/>
          <w:szCs w:val="22"/>
        </w:rPr>
        <w:t xml:space="preserve"> </w:t>
      </w:r>
      <w:r w:rsidR="00EB7120" w:rsidRPr="00C05F9D">
        <w:rPr>
          <w:rFonts w:asciiTheme="minorHAnsi" w:hAnsiTheme="minorHAnsi"/>
          <w:sz w:val="22"/>
          <w:szCs w:val="22"/>
        </w:rPr>
        <w:t>and department</w:t>
      </w:r>
      <w:r w:rsidR="002730FB" w:rsidRPr="00C05F9D">
        <w:rPr>
          <w:rFonts w:asciiTheme="minorHAnsi" w:hAnsiTheme="minorHAnsi"/>
          <w:sz w:val="22"/>
          <w:szCs w:val="22"/>
        </w:rPr>
        <w:t>al and institutional needs;</w:t>
      </w:r>
    </w:p>
    <w:p w:rsidR="00F67D11" w:rsidRPr="00C05F9D" w:rsidRDefault="00F67D11"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 xml:space="preserve">Once the Dean </w:t>
      </w:r>
      <w:r w:rsidR="00186306" w:rsidRPr="00C05F9D">
        <w:rPr>
          <w:rFonts w:asciiTheme="minorHAnsi" w:hAnsiTheme="minorHAnsi"/>
          <w:sz w:val="22"/>
          <w:szCs w:val="22"/>
        </w:rPr>
        <w:t>identifi</w:t>
      </w:r>
      <w:r w:rsidR="002730FB" w:rsidRPr="00C05F9D">
        <w:rPr>
          <w:rFonts w:asciiTheme="minorHAnsi" w:hAnsiTheme="minorHAnsi"/>
          <w:sz w:val="22"/>
          <w:szCs w:val="22"/>
        </w:rPr>
        <w:t>es</w:t>
      </w:r>
      <w:r w:rsidRPr="00C05F9D">
        <w:rPr>
          <w:rFonts w:asciiTheme="minorHAnsi" w:hAnsiTheme="minorHAnsi"/>
          <w:sz w:val="22"/>
          <w:szCs w:val="22"/>
        </w:rPr>
        <w:t xml:space="preserve"> all appointable candidates for the position of HoD, </w:t>
      </w:r>
      <w:r w:rsidR="001A79A5" w:rsidRPr="00C05F9D">
        <w:rPr>
          <w:rFonts w:asciiTheme="minorHAnsi" w:hAnsiTheme="minorHAnsi"/>
          <w:sz w:val="22"/>
          <w:szCs w:val="22"/>
        </w:rPr>
        <w:t>diversity and employment equity requirements of the University will apply. With consideration to the demographic profile of the HoDs within the institution and particularly within the Faculty, the Dean make</w:t>
      </w:r>
      <w:r w:rsidR="00C35206" w:rsidRPr="00C05F9D">
        <w:rPr>
          <w:rFonts w:asciiTheme="minorHAnsi" w:hAnsiTheme="minorHAnsi"/>
          <w:sz w:val="22"/>
          <w:szCs w:val="22"/>
        </w:rPr>
        <w:t>s</w:t>
      </w:r>
      <w:r w:rsidR="001A79A5" w:rsidRPr="00C05F9D">
        <w:rPr>
          <w:rFonts w:asciiTheme="minorHAnsi" w:hAnsiTheme="minorHAnsi"/>
          <w:sz w:val="22"/>
          <w:szCs w:val="22"/>
        </w:rPr>
        <w:t xml:space="preserve"> a recommendation that seeks to achieve diversity</w:t>
      </w:r>
      <w:r w:rsidR="002730FB" w:rsidRPr="00C05F9D">
        <w:rPr>
          <w:rFonts w:asciiTheme="minorHAnsi" w:hAnsiTheme="minorHAnsi"/>
          <w:sz w:val="22"/>
          <w:szCs w:val="22"/>
        </w:rPr>
        <w:t>;</w:t>
      </w:r>
      <w:r w:rsidR="001A79A5" w:rsidRPr="00C05F9D">
        <w:rPr>
          <w:rFonts w:asciiTheme="minorHAnsi" w:hAnsiTheme="minorHAnsi"/>
          <w:sz w:val="22"/>
          <w:szCs w:val="22"/>
        </w:rPr>
        <w:t xml:space="preserve"> </w:t>
      </w:r>
    </w:p>
    <w:p w:rsidR="00C35206" w:rsidRPr="00C71D78" w:rsidRDefault="003060CA" w:rsidP="00C71D78">
      <w:pPr>
        <w:pStyle w:val="ListParagraph"/>
        <w:numPr>
          <w:ilvl w:val="0"/>
          <w:numId w:val="16"/>
        </w:numPr>
        <w:rPr>
          <w:rFonts w:asciiTheme="minorHAnsi" w:hAnsiTheme="minorHAnsi"/>
          <w:sz w:val="22"/>
          <w:szCs w:val="22"/>
        </w:rPr>
      </w:pPr>
      <w:r w:rsidRPr="00C71D78">
        <w:rPr>
          <w:rFonts w:asciiTheme="minorHAnsi" w:hAnsiTheme="minorHAnsi"/>
          <w:sz w:val="22"/>
          <w:szCs w:val="22"/>
        </w:rPr>
        <w:t>Th</w:t>
      </w:r>
      <w:r w:rsidR="00C35206" w:rsidRPr="00C71D78">
        <w:rPr>
          <w:rFonts w:asciiTheme="minorHAnsi" w:hAnsiTheme="minorHAnsi"/>
          <w:sz w:val="22"/>
          <w:szCs w:val="22"/>
        </w:rPr>
        <w:t>e Dean communicates the</w:t>
      </w:r>
      <w:r w:rsidRPr="00C71D78">
        <w:rPr>
          <w:rFonts w:asciiTheme="minorHAnsi" w:hAnsiTheme="minorHAnsi"/>
          <w:sz w:val="22"/>
          <w:szCs w:val="22"/>
        </w:rPr>
        <w:t xml:space="preserve"> recommendation to</w:t>
      </w:r>
      <w:r w:rsidR="00BD2C48" w:rsidRPr="00C71D78">
        <w:rPr>
          <w:rFonts w:asciiTheme="minorHAnsi" w:hAnsiTheme="minorHAnsi"/>
          <w:sz w:val="22"/>
          <w:szCs w:val="22"/>
        </w:rPr>
        <w:t xml:space="preserve"> the applicants</w:t>
      </w:r>
      <w:r w:rsidRPr="00C71D78">
        <w:rPr>
          <w:rFonts w:asciiTheme="minorHAnsi" w:hAnsiTheme="minorHAnsi"/>
          <w:sz w:val="22"/>
          <w:szCs w:val="22"/>
        </w:rPr>
        <w:t xml:space="preserve"> </w:t>
      </w:r>
      <w:r w:rsidR="00BD2C48" w:rsidRPr="00C71D78">
        <w:rPr>
          <w:rFonts w:asciiTheme="minorHAnsi" w:hAnsiTheme="minorHAnsi"/>
          <w:sz w:val="22"/>
          <w:szCs w:val="22"/>
        </w:rPr>
        <w:t>and then to staff</w:t>
      </w:r>
      <w:r w:rsidR="00C35206" w:rsidRPr="00C71D78">
        <w:rPr>
          <w:rFonts w:asciiTheme="minorHAnsi" w:hAnsiTheme="minorHAnsi"/>
          <w:sz w:val="22"/>
          <w:szCs w:val="22"/>
        </w:rPr>
        <w:t>;</w:t>
      </w:r>
    </w:p>
    <w:p w:rsidR="00BD2C48" w:rsidRPr="00C05F9D" w:rsidRDefault="00B23E72" w:rsidP="006F14F2">
      <w:pPr>
        <w:pStyle w:val="ListParagraph"/>
        <w:numPr>
          <w:ilvl w:val="0"/>
          <w:numId w:val="16"/>
        </w:numPr>
        <w:rPr>
          <w:rFonts w:asciiTheme="minorHAnsi" w:hAnsiTheme="minorHAnsi"/>
          <w:sz w:val="22"/>
          <w:szCs w:val="22"/>
        </w:rPr>
      </w:pPr>
      <w:r w:rsidRPr="00C71D78">
        <w:rPr>
          <w:rFonts w:asciiTheme="minorHAnsi" w:hAnsiTheme="minorHAnsi"/>
          <w:sz w:val="22"/>
          <w:szCs w:val="22"/>
        </w:rPr>
        <w:lastRenderedPageBreak/>
        <w:t>Where feasible and appropriate, a development conversation should take place with “unsuccessful” applicants</w:t>
      </w:r>
      <w:r w:rsidRPr="00C05F9D">
        <w:rPr>
          <w:rFonts w:asciiTheme="minorHAnsi" w:hAnsiTheme="minorHAnsi"/>
          <w:sz w:val="22"/>
          <w:szCs w:val="22"/>
          <w:shd w:val="clear" w:color="auto" w:fill="FFFF00"/>
        </w:rPr>
        <w:t xml:space="preserve"> </w:t>
      </w:r>
      <w:r w:rsidRPr="00C71D78">
        <w:rPr>
          <w:rFonts w:asciiTheme="minorHAnsi" w:hAnsiTheme="minorHAnsi"/>
          <w:sz w:val="22"/>
          <w:szCs w:val="22"/>
        </w:rPr>
        <w:t>to identify areas of future growth and development opportunities available. The Director: HR may assist</w:t>
      </w:r>
      <w:r w:rsidR="00BD2C48" w:rsidRPr="00C71D78">
        <w:rPr>
          <w:rFonts w:asciiTheme="minorHAnsi" w:hAnsiTheme="minorHAnsi"/>
          <w:sz w:val="22"/>
          <w:szCs w:val="22"/>
        </w:rPr>
        <w:t>;</w:t>
      </w:r>
    </w:p>
    <w:p w:rsidR="002730FB" w:rsidRPr="00C05F9D" w:rsidRDefault="00755885"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The Dean recommend</w:t>
      </w:r>
      <w:r w:rsidR="00C35206" w:rsidRPr="00C05F9D">
        <w:rPr>
          <w:rFonts w:asciiTheme="minorHAnsi" w:hAnsiTheme="minorHAnsi"/>
          <w:sz w:val="22"/>
          <w:szCs w:val="22"/>
        </w:rPr>
        <w:t>s</w:t>
      </w:r>
      <w:r w:rsidRPr="00C05F9D">
        <w:rPr>
          <w:rFonts w:asciiTheme="minorHAnsi" w:hAnsiTheme="minorHAnsi"/>
          <w:sz w:val="22"/>
          <w:szCs w:val="22"/>
        </w:rPr>
        <w:t xml:space="preserve"> for approval the appointment of a new</w:t>
      </w:r>
      <w:r w:rsidR="002730FB" w:rsidRPr="00C05F9D">
        <w:rPr>
          <w:rFonts w:asciiTheme="minorHAnsi" w:hAnsiTheme="minorHAnsi"/>
          <w:sz w:val="22"/>
          <w:szCs w:val="22"/>
        </w:rPr>
        <w:t xml:space="preserve"> HoD to IPC, Senate and Council;</w:t>
      </w:r>
      <w:r w:rsidR="00C35206" w:rsidRPr="00C05F9D">
        <w:rPr>
          <w:rFonts w:asciiTheme="minorHAnsi" w:hAnsiTheme="minorHAnsi"/>
          <w:sz w:val="22"/>
          <w:szCs w:val="22"/>
        </w:rPr>
        <w:t xml:space="preserve"> and</w:t>
      </w:r>
    </w:p>
    <w:p w:rsidR="005321F3" w:rsidRPr="00C05F9D" w:rsidRDefault="005321F3" w:rsidP="006F14F2">
      <w:pPr>
        <w:pStyle w:val="ListParagraph"/>
        <w:numPr>
          <w:ilvl w:val="0"/>
          <w:numId w:val="16"/>
        </w:numPr>
        <w:rPr>
          <w:rFonts w:asciiTheme="minorHAnsi" w:hAnsiTheme="minorHAnsi"/>
          <w:sz w:val="22"/>
          <w:szCs w:val="22"/>
        </w:rPr>
      </w:pPr>
      <w:r w:rsidRPr="00C05F9D">
        <w:rPr>
          <w:rFonts w:asciiTheme="minorHAnsi" w:hAnsiTheme="minorHAnsi"/>
          <w:sz w:val="22"/>
          <w:szCs w:val="22"/>
        </w:rPr>
        <w:t xml:space="preserve"> The </w:t>
      </w:r>
      <w:r w:rsidR="00693D31" w:rsidRPr="00C05F9D">
        <w:rPr>
          <w:rFonts w:asciiTheme="minorHAnsi" w:hAnsiTheme="minorHAnsi"/>
          <w:sz w:val="22"/>
          <w:szCs w:val="22"/>
        </w:rPr>
        <w:t xml:space="preserve">Dean </w:t>
      </w:r>
      <w:r w:rsidR="00C35206" w:rsidRPr="00C05F9D">
        <w:rPr>
          <w:rFonts w:asciiTheme="minorHAnsi" w:hAnsiTheme="minorHAnsi"/>
          <w:sz w:val="22"/>
          <w:szCs w:val="22"/>
        </w:rPr>
        <w:t>r</w:t>
      </w:r>
      <w:r w:rsidR="002730FB" w:rsidRPr="00C05F9D">
        <w:rPr>
          <w:rFonts w:asciiTheme="minorHAnsi" w:hAnsiTheme="minorHAnsi"/>
          <w:sz w:val="22"/>
          <w:szCs w:val="22"/>
        </w:rPr>
        <w:t>etain</w:t>
      </w:r>
      <w:r w:rsidR="00C35206" w:rsidRPr="00C05F9D">
        <w:rPr>
          <w:rFonts w:asciiTheme="minorHAnsi" w:hAnsiTheme="minorHAnsi"/>
          <w:sz w:val="22"/>
          <w:szCs w:val="22"/>
        </w:rPr>
        <w:t>s</w:t>
      </w:r>
      <w:r w:rsidR="002730FB" w:rsidRPr="00C05F9D">
        <w:rPr>
          <w:rFonts w:asciiTheme="minorHAnsi" w:hAnsiTheme="minorHAnsi"/>
          <w:sz w:val="22"/>
          <w:szCs w:val="22"/>
        </w:rPr>
        <w:t xml:space="preserve"> all records of this process including any secret ballot. </w:t>
      </w:r>
      <w:r w:rsidR="00A779C8" w:rsidRPr="00C05F9D">
        <w:rPr>
          <w:rFonts w:asciiTheme="minorHAnsi" w:hAnsiTheme="minorHAnsi"/>
          <w:sz w:val="22"/>
          <w:szCs w:val="22"/>
        </w:rPr>
        <w:t>T</w:t>
      </w:r>
      <w:r w:rsidR="002730FB" w:rsidRPr="00C05F9D">
        <w:rPr>
          <w:rFonts w:asciiTheme="minorHAnsi" w:hAnsiTheme="minorHAnsi"/>
          <w:sz w:val="22"/>
          <w:szCs w:val="22"/>
        </w:rPr>
        <w:t xml:space="preserve">he Dean </w:t>
      </w:r>
      <w:r w:rsidR="00A779C8" w:rsidRPr="00C05F9D">
        <w:rPr>
          <w:rFonts w:asciiTheme="minorHAnsi" w:hAnsiTheme="minorHAnsi"/>
          <w:sz w:val="22"/>
          <w:szCs w:val="22"/>
        </w:rPr>
        <w:t>w</w:t>
      </w:r>
      <w:r w:rsidR="002730FB" w:rsidRPr="00C05F9D">
        <w:rPr>
          <w:rFonts w:asciiTheme="minorHAnsi" w:hAnsiTheme="minorHAnsi"/>
          <w:sz w:val="22"/>
          <w:szCs w:val="22"/>
        </w:rPr>
        <w:t>rite</w:t>
      </w:r>
      <w:r w:rsidR="00A779C8" w:rsidRPr="00C05F9D">
        <w:rPr>
          <w:rFonts w:asciiTheme="minorHAnsi" w:hAnsiTheme="minorHAnsi"/>
          <w:sz w:val="22"/>
          <w:szCs w:val="22"/>
        </w:rPr>
        <w:t>s</w:t>
      </w:r>
      <w:r w:rsidR="002730FB" w:rsidRPr="00C05F9D">
        <w:rPr>
          <w:rFonts w:asciiTheme="minorHAnsi" w:hAnsiTheme="minorHAnsi"/>
          <w:sz w:val="22"/>
          <w:szCs w:val="22"/>
        </w:rPr>
        <w:t xml:space="preserve"> </w:t>
      </w:r>
      <w:r w:rsidR="00693D31" w:rsidRPr="00C05F9D">
        <w:rPr>
          <w:rFonts w:asciiTheme="minorHAnsi" w:hAnsiTheme="minorHAnsi"/>
          <w:sz w:val="22"/>
          <w:szCs w:val="22"/>
        </w:rPr>
        <w:t xml:space="preserve">a confidential </w:t>
      </w:r>
      <w:r w:rsidRPr="00C05F9D">
        <w:rPr>
          <w:rFonts w:asciiTheme="minorHAnsi" w:hAnsiTheme="minorHAnsi"/>
          <w:sz w:val="22"/>
          <w:szCs w:val="22"/>
        </w:rPr>
        <w:t xml:space="preserve">written report that </w:t>
      </w:r>
      <w:r w:rsidR="00F67D11" w:rsidRPr="00C05F9D">
        <w:rPr>
          <w:rFonts w:asciiTheme="minorHAnsi" w:hAnsiTheme="minorHAnsi"/>
          <w:sz w:val="22"/>
          <w:szCs w:val="22"/>
        </w:rPr>
        <w:t xml:space="preserve">details the process undertaken and </w:t>
      </w:r>
      <w:r w:rsidRPr="00C05F9D">
        <w:rPr>
          <w:rFonts w:asciiTheme="minorHAnsi" w:hAnsiTheme="minorHAnsi"/>
          <w:sz w:val="22"/>
          <w:szCs w:val="22"/>
        </w:rPr>
        <w:t xml:space="preserve">argues for the recommendation of </w:t>
      </w:r>
      <w:r w:rsidR="00693D31" w:rsidRPr="00C05F9D">
        <w:rPr>
          <w:rFonts w:asciiTheme="minorHAnsi" w:hAnsiTheme="minorHAnsi"/>
          <w:sz w:val="22"/>
          <w:szCs w:val="22"/>
        </w:rPr>
        <w:t>the</w:t>
      </w:r>
      <w:r w:rsidRPr="00C05F9D">
        <w:rPr>
          <w:rFonts w:asciiTheme="minorHAnsi" w:hAnsiTheme="minorHAnsi"/>
          <w:sz w:val="22"/>
          <w:szCs w:val="22"/>
        </w:rPr>
        <w:t xml:space="preserve"> part</w:t>
      </w:r>
      <w:r w:rsidR="005C5564" w:rsidRPr="00C05F9D">
        <w:rPr>
          <w:rFonts w:asciiTheme="minorHAnsi" w:hAnsiTheme="minorHAnsi"/>
          <w:sz w:val="22"/>
          <w:szCs w:val="22"/>
        </w:rPr>
        <w:t>icular applicant</w:t>
      </w:r>
      <w:r w:rsidR="002730FB" w:rsidRPr="00C05F9D">
        <w:rPr>
          <w:rFonts w:asciiTheme="minorHAnsi" w:hAnsiTheme="minorHAnsi"/>
          <w:sz w:val="22"/>
          <w:szCs w:val="22"/>
        </w:rPr>
        <w:t xml:space="preserve">. </w:t>
      </w:r>
      <w:r w:rsidR="00A779C8" w:rsidRPr="00C05F9D">
        <w:rPr>
          <w:rFonts w:asciiTheme="minorHAnsi" w:hAnsiTheme="minorHAnsi"/>
          <w:sz w:val="22"/>
          <w:szCs w:val="22"/>
        </w:rPr>
        <w:t xml:space="preserve">Where the above process has not been followed, the reason for this and the actual process followed must be included. </w:t>
      </w:r>
      <w:r w:rsidR="002730FB" w:rsidRPr="00C05F9D">
        <w:rPr>
          <w:rFonts w:asciiTheme="minorHAnsi" w:hAnsiTheme="minorHAnsi"/>
          <w:sz w:val="22"/>
          <w:szCs w:val="22"/>
        </w:rPr>
        <w:t xml:space="preserve">This </w:t>
      </w:r>
      <w:r w:rsidR="00A779C8" w:rsidRPr="00C05F9D">
        <w:rPr>
          <w:rFonts w:asciiTheme="minorHAnsi" w:hAnsiTheme="minorHAnsi"/>
          <w:sz w:val="22"/>
          <w:szCs w:val="22"/>
        </w:rPr>
        <w:t xml:space="preserve">report </w:t>
      </w:r>
      <w:r w:rsidR="002730FB" w:rsidRPr="00C05F9D">
        <w:rPr>
          <w:rFonts w:asciiTheme="minorHAnsi" w:hAnsiTheme="minorHAnsi"/>
          <w:sz w:val="22"/>
          <w:szCs w:val="22"/>
        </w:rPr>
        <w:t>will</w:t>
      </w:r>
      <w:r w:rsidR="00F67D11" w:rsidRPr="00C05F9D">
        <w:rPr>
          <w:rFonts w:asciiTheme="minorHAnsi" w:hAnsiTheme="minorHAnsi"/>
          <w:sz w:val="22"/>
          <w:szCs w:val="22"/>
        </w:rPr>
        <w:t xml:space="preserve"> not serve before IPC, Senate or Council</w:t>
      </w:r>
      <w:r w:rsidR="002730FB" w:rsidRPr="00C05F9D">
        <w:rPr>
          <w:rFonts w:asciiTheme="minorHAnsi" w:hAnsiTheme="minorHAnsi"/>
          <w:sz w:val="22"/>
          <w:szCs w:val="22"/>
        </w:rPr>
        <w:t xml:space="preserve"> but will be provided to the Vice-Chancellor. </w:t>
      </w:r>
    </w:p>
    <w:p w:rsidR="006D50B7" w:rsidRPr="00C05F9D" w:rsidRDefault="006D50B7" w:rsidP="0080340F">
      <w:pPr>
        <w:rPr>
          <w:rFonts w:asciiTheme="minorHAnsi" w:hAnsiTheme="minorHAnsi"/>
          <w:sz w:val="22"/>
          <w:szCs w:val="22"/>
        </w:rPr>
      </w:pPr>
    </w:p>
    <w:p w:rsidR="00B05620" w:rsidRPr="00C05F9D" w:rsidRDefault="00B05620" w:rsidP="0080340F">
      <w:pPr>
        <w:rPr>
          <w:rFonts w:asciiTheme="minorHAnsi" w:hAnsiTheme="minorHAnsi"/>
          <w:sz w:val="22"/>
          <w:szCs w:val="22"/>
        </w:rPr>
      </w:pPr>
      <w:r w:rsidRPr="00C05F9D">
        <w:rPr>
          <w:rFonts w:asciiTheme="minorHAnsi" w:hAnsiTheme="minorHAnsi"/>
          <w:sz w:val="22"/>
          <w:szCs w:val="22"/>
        </w:rPr>
        <w:t>Where the Dean wishes to follow a different process:</w:t>
      </w:r>
    </w:p>
    <w:p w:rsidR="00B05620" w:rsidRPr="00C05F9D" w:rsidRDefault="00B05620" w:rsidP="0080340F">
      <w:pPr>
        <w:rPr>
          <w:rFonts w:asciiTheme="minorHAnsi" w:hAnsiTheme="minorHAnsi"/>
          <w:sz w:val="22"/>
          <w:szCs w:val="22"/>
        </w:rPr>
      </w:pPr>
      <w:r w:rsidRPr="00C05F9D">
        <w:rPr>
          <w:rFonts w:asciiTheme="minorHAnsi" w:hAnsiTheme="minorHAnsi"/>
          <w:sz w:val="22"/>
          <w:szCs w:val="22"/>
        </w:rPr>
        <w:t>(i)</w:t>
      </w:r>
      <w:r w:rsidRPr="00C05F9D">
        <w:rPr>
          <w:rFonts w:asciiTheme="minorHAnsi" w:hAnsiTheme="minorHAnsi"/>
          <w:sz w:val="22"/>
          <w:szCs w:val="22"/>
        </w:rPr>
        <w:tab/>
        <w:t>Approval for this must be sought from the Deputy Vice-Chancellor: Academic and Student Affairs;</w:t>
      </w:r>
    </w:p>
    <w:p w:rsidR="00B05620" w:rsidRPr="00DF44D1" w:rsidRDefault="00B05620" w:rsidP="0080340F">
      <w:pPr>
        <w:rPr>
          <w:rFonts w:asciiTheme="minorHAnsi" w:hAnsiTheme="minorHAnsi"/>
          <w:sz w:val="22"/>
          <w:szCs w:val="22"/>
        </w:rPr>
      </w:pPr>
      <w:r w:rsidRPr="00C05F9D">
        <w:rPr>
          <w:rFonts w:asciiTheme="minorHAnsi" w:hAnsiTheme="minorHAnsi"/>
          <w:sz w:val="22"/>
          <w:szCs w:val="22"/>
        </w:rPr>
        <w:t>(ii)</w:t>
      </w:r>
      <w:r w:rsidRPr="00C05F9D">
        <w:rPr>
          <w:rFonts w:asciiTheme="minorHAnsi" w:hAnsiTheme="minorHAnsi"/>
          <w:sz w:val="22"/>
          <w:szCs w:val="22"/>
        </w:rPr>
        <w:tab/>
        <w:t xml:space="preserve">Points </w:t>
      </w:r>
      <w:r w:rsidR="00455755" w:rsidRPr="00C05F9D">
        <w:rPr>
          <w:rFonts w:asciiTheme="minorHAnsi" w:hAnsiTheme="minorHAnsi"/>
          <w:sz w:val="22"/>
          <w:szCs w:val="22"/>
        </w:rPr>
        <w:t xml:space="preserve">4 </w:t>
      </w:r>
      <w:r w:rsidRPr="00C05F9D">
        <w:rPr>
          <w:rFonts w:asciiTheme="minorHAnsi" w:hAnsiTheme="minorHAnsi"/>
          <w:sz w:val="22"/>
          <w:szCs w:val="22"/>
        </w:rPr>
        <w:t>(h) to (l) as outlined above must still be followed.</w:t>
      </w:r>
    </w:p>
    <w:p w:rsidR="008B7B2C" w:rsidRPr="00DF44D1" w:rsidRDefault="008B7B2C" w:rsidP="0080340F">
      <w:pPr>
        <w:rPr>
          <w:rFonts w:asciiTheme="minorHAnsi" w:hAnsiTheme="minorHAnsi"/>
          <w:sz w:val="22"/>
          <w:szCs w:val="22"/>
        </w:rPr>
      </w:pPr>
    </w:p>
    <w:p w:rsidR="00617A35" w:rsidRDefault="00617A35" w:rsidP="00617A35">
      <w:pPr>
        <w:spacing w:line="276" w:lineRule="auto"/>
        <w:jc w:val="right"/>
        <w:rPr>
          <w:rFonts w:asciiTheme="minorHAnsi" w:hAnsiTheme="minorHAnsi"/>
          <w:b/>
          <w:sz w:val="16"/>
          <w:szCs w:val="16"/>
        </w:rPr>
      </w:pPr>
      <w:r w:rsidRPr="00617A35">
        <w:rPr>
          <w:rFonts w:asciiTheme="minorHAnsi" w:hAnsiTheme="minorHAnsi"/>
          <w:b/>
          <w:sz w:val="16"/>
          <w:szCs w:val="16"/>
        </w:rPr>
        <w:t>Written: Professor D Sewry with input from Deans, Director: HR, HoD Forum</w:t>
      </w:r>
    </w:p>
    <w:p w:rsidR="00617A35" w:rsidRDefault="00617A35" w:rsidP="00617A35">
      <w:pPr>
        <w:spacing w:line="276" w:lineRule="auto"/>
        <w:jc w:val="right"/>
        <w:rPr>
          <w:rFonts w:asciiTheme="minorHAnsi" w:hAnsiTheme="minorHAnsi"/>
          <w:b/>
          <w:sz w:val="16"/>
          <w:szCs w:val="16"/>
        </w:rPr>
      </w:pPr>
      <w:r>
        <w:rPr>
          <w:rFonts w:asciiTheme="minorHAnsi" w:hAnsiTheme="minorHAnsi"/>
          <w:b/>
          <w:sz w:val="16"/>
          <w:szCs w:val="16"/>
        </w:rPr>
        <w:t>Presented to the HoD Forum: October 2012</w:t>
      </w:r>
    </w:p>
    <w:p w:rsidR="00617A35" w:rsidRDefault="00455755" w:rsidP="00617A35">
      <w:pPr>
        <w:spacing w:line="276" w:lineRule="auto"/>
        <w:jc w:val="right"/>
        <w:rPr>
          <w:rFonts w:asciiTheme="minorHAnsi" w:hAnsiTheme="minorHAnsi"/>
          <w:b/>
          <w:sz w:val="16"/>
          <w:szCs w:val="16"/>
        </w:rPr>
      </w:pPr>
      <w:r>
        <w:rPr>
          <w:rFonts w:asciiTheme="minorHAnsi" w:hAnsiTheme="minorHAnsi"/>
          <w:b/>
          <w:sz w:val="16"/>
          <w:szCs w:val="16"/>
        </w:rPr>
        <w:t>Presented to Deans Forum</w:t>
      </w:r>
      <w:r w:rsidR="00617A35">
        <w:rPr>
          <w:rFonts w:asciiTheme="minorHAnsi" w:hAnsiTheme="minorHAnsi"/>
          <w:b/>
          <w:sz w:val="16"/>
          <w:szCs w:val="16"/>
        </w:rPr>
        <w:t>: March 2013</w:t>
      </w:r>
    </w:p>
    <w:p w:rsidR="00617A35" w:rsidRPr="00617A35" w:rsidRDefault="00455755" w:rsidP="00617A35">
      <w:pPr>
        <w:spacing w:line="276" w:lineRule="auto"/>
        <w:jc w:val="right"/>
        <w:rPr>
          <w:rFonts w:asciiTheme="minorHAnsi" w:hAnsiTheme="minorHAnsi"/>
          <w:b/>
          <w:sz w:val="16"/>
          <w:szCs w:val="16"/>
        </w:rPr>
      </w:pPr>
      <w:r>
        <w:rPr>
          <w:rFonts w:asciiTheme="minorHAnsi" w:hAnsiTheme="minorHAnsi"/>
          <w:b/>
          <w:sz w:val="16"/>
          <w:szCs w:val="16"/>
        </w:rPr>
        <w:t>Last updated: March</w:t>
      </w:r>
      <w:r w:rsidR="00617A35">
        <w:rPr>
          <w:rFonts w:asciiTheme="minorHAnsi" w:hAnsiTheme="minorHAnsi"/>
          <w:b/>
          <w:sz w:val="16"/>
          <w:szCs w:val="16"/>
        </w:rPr>
        <w:t xml:space="preserve"> 2013</w:t>
      </w: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833A3" w:rsidRDefault="000833A3">
      <w:pPr>
        <w:spacing w:after="200" w:line="276" w:lineRule="auto"/>
        <w:rPr>
          <w:rFonts w:asciiTheme="minorHAnsi" w:hAnsiTheme="minorHAnsi"/>
          <w:b/>
          <w:sz w:val="22"/>
          <w:szCs w:val="22"/>
        </w:rPr>
      </w:pPr>
    </w:p>
    <w:p w:rsidR="000E2992" w:rsidRDefault="000E2992">
      <w:pPr>
        <w:spacing w:after="200" w:line="276" w:lineRule="auto"/>
        <w:rPr>
          <w:rFonts w:asciiTheme="minorHAnsi" w:hAnsiTheme="minorHAnsi"/>
          <w:b/>
          <w:sz w:val="22"/>
          <w:szCs w:val="22"/>
        </w:rPr>
      </w:pPr>
    </w:p>
    <w:p w:rsidR="000E2992" w:rsidRDefault="000E2992">
      <w:pPr>
        <w:spacing w:after="200" w:line="276" w:lineRule="auto"/>
        <w:rPr>
          <w:rFonts w:asciiTheme="minorHAnsi" w:hAnsiTheme="minorHAnsi"/>
          <w:b/>
          <w:sz w:val="22"/>
          <w:szCs w:val="22"/>
        </w:rPr>
      </w:pPr>
    </w:p>
    <w:p w:rsidR="000E2992" w:rsidRDefault="000E2992">
      <w:pPr>
        <w:spacing w:after="200" w:line="276" w:lineRule="auto"/>
        <w:rPr>
          <w:rFonts w:asciiTheme="minorHAnsi" w:hAnsiTheme="minorHAnsi"/>
          <w:b/>
          <w:sz w:val="22"/>
          <w:szCs w:val="22"/>
        </w:rPr>
      </w:pPr>
    </w:p>
    <w:p w:rsidR="000E2992" w:rsidRDefault="000E2992">
      <w:pPr>
        <w:spacing w:after="200" w:line="276" w:lineRule="auto"/>
        <w:rPr>
          <w:rFonts w:asciiTheme="minorHAnsi" w:hAnsiTheme="minorHAnsi"/>
          <w:b/>
          <w:sz w:val="22"/>
          <w:szCs w:val="22"/>
        </w:rPr>
      </w:pPr>
    </w:p>
    <w:p w:rsidR="000E2992" w:rsidRDefault="000E2992">
      <w:pPr>
        <w:spacing w:after="200" w:line="276" w:lineRule="auto"/>
        <w:rPr>
          <w:rFonts w:asciiTheme="minorHAnsi" w:hAnsiTheme="minorHAnsi"/>
          <w:b/>
          <w:sz w:val="22"/>
          <w:szCs w:val="22"/>
        </w:rPr>
      </w:pPr>
    </w:p>
    <w:p w:rsidR="000E2992" w:rsidRDefault="000E2992">
      <w:pPr>
        <w:spacing w:after="200" w:line="276" w:lineRule="auto"/>
        <w:rPr>
          <w:rFonts w:asciiTheme="minorHAnsi" w:hAnsiTheme="minorHAnsi"/>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2520"/>
        <w:gridCol w:w="2340"/>
        <w:gridCol w:w="3380"/>
      </w:tblGrid>
      <w:tr w:rsidR="000833A3" w:rsidTr="000E2992">
        <w:trPr>
          <w:cantSplit/>
          <w:trHeight w:val="982"/>
        </w:trPr>
        <w:tc>
          <w:tcPr>
            <w:tcW w:w="2676" w:type="dxa"/>
            <w:vMerge w:val="restart"/>
            <w:tcBorders>
              <w:top w:val="single" w:sz="12" w:space="0" w:color="auto"/>
              <w:left w:val="single" w:sz="12" w:space="0" w:color="auto"/>
              <w:bottom w:val="single" w:sz="12" w:space="0" w:color="auto"/>
              <w:right w:val="single" w:sz="12" w:space="0" w:color="auto"/>
            </w:tcBorders>
            <w:vAlign w:val="center"/>
          </w:tcPr>
          <w:p w:rsidR="000833A3" w:rsidRDefault="000833A3" w:rsidP="00475E9C">
            <w:pPr>
              <w:jc w:val="center"/>
              <w:rPr>
                <w:b/>
                <w:bCs/>
              </w:rPr>
            </w:pPr>
            <w:r>
              <w:rPr>
                <w:b/>
                <w:bCs/>
                <w:noProof/>
                <w:lang w:val="en-US" w:eastAsia="en-US"/>
              </w:rPr>
              <w:lastRenderedPageBreak/>
              <w:drawing>
                <wp:inline distT="0" distB="0" distL="0" distR="0" wp14:anchorId="1D616005" wp14:editId="3BAD6E0B">
                  <wp:extent cx="1352550" cy="733425"/>
                  <wp:effectExtent l="0" t="0" r="0" b="9525"/>
                  <wp:docPr id="1" name="Picture 1" descr="crest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G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a:ln>
                            <a:noFill/>
                          </a:ln>
                        </pic:spPr>
                      </pic:pic>
                    </a:graphicData>
                  </a:graphic>
                </wp:inline>
              </w:drawing>
            </w:r>
          </w:p>
        </w:tc>
        <w:tc>
          <w:tcPr>
            <w:tcW w:w="4860" w:type="dxa"/>
            <w:gridSpan w:val="2"/>
            <w:tcBorders>
              <w:left w:val="single" w:sz="12" w:space="0" w:color="auto"/>
            </w:tcBorders>
          </w:tcPr>
          <w:p w:rsidR="000833A3" w:rsidRPr="00CF1D0F" w:rsidRDefault="000833A3" w:rsidP="00475E9C">
            <w:pPr>
              <w:pStyle w:val="Header"/>
              <w:spacing w:before="300" w:after="300"/>
              <w:jc w:val="center"/>
              <w:rPr>
                <w:rFonts w:ascii="Calibri" w:hAnsi="Calibri" w:cs="Calibri"/>
              </w:rPr>
            </w:pPr>
            <w:r>
              <w:rPr>
                <w:rFonts w:ascii="Calibri" w:hAnsi="Calibri" w:cs="Calibri"/>
              </w:rPr>
              <w:t>Applies to all Heads of Academic Departments</w:t>
            </w:r>
          </w:p>
        </w:tc>
        <w:tc>
          <w:tcPr>
            <w:tcW w:w="3380" w:type="dxa"/>
            <w:vMerge w:val="restart"/>
          </w:tcPr>
          <w:p w:rsidR="000833A3" w:rsidRPr="00CF1D0F" w:rsidRDefault="000833A3" w:rsidP="00475E9C">
            <w:pPr>
              <w:pStyle w:val="Header"/>
              <w:rPr>
                <w:rFonts w:ascii="Calibri" w:hAnsi="Calibri" w:cs="Calibri"/>
                <w:sz w:val="12"/>
              </w:rPr>
            </w:pPr>
          </w:p>
          <w:p w:rsidR="000833A3" w:rsidRPr="00CF1D0F" w:rsidRDefault="000833A3" w:rsidP="00475E9C">
            <w:pPr>
              <w:pStyle w:val="Header"/>
              <w:rPr>
                <w:rFonts w:ascii="Calibri" w:hAnsi="Calibri" w:cs="Calibri"/>
                <w:sz w:val="12"/>
              </w:rPr>
            </w:pPr>
          </w:p>
          <w:p w:rsidR="000833A3" w:rsidRPr="00CF1D0F" w:rsidRDefault="000833A3" w:rsidP="00475E9C">
            <w:pPr>
              <w:pStyle w:val="Header"/>
              <w:rPr>
                <w:rFonts w:ascii="Calibri" w:hAnsi="Calibri" w:cs="Calibri"/>
                <w:sz w:val="8"/>
              </w:rPr>
            </w:pPr>
            <w:r w:rsidRPr="00CF1D0F">
              <w:rPr>
                <w:rFonts w:ascii="Calibri" w:hAnsi="Calibri" w:cs="Calibri"/>
                <w:sz w:val="16"/>
              </w:rPr>
              <w:t xml:space="preserve"> </w:t>
            </w:r>
          </w:p>
          <w:p w:rsidR="000833A3" w:rsidRPr="00C8160E" w:rsidRDefault="000833A3" w:rsidP="00475E9C">
            <w:pPr>
              <w:pStyle w:val="Header"/>
              <w:jc w:val="center"/>
              <w:rPr>
                <w:rFonts w:ascii="Calibri" w:hAnsi="Calibri" w:cs="Calibri"/>
                <w:b/>
                <w:sz w:val="20"/>
              </w:rPr>
            </w:pPr>
            <w:r w:rsidRPr="00C8160E">
              <w:rPr>
                <w:rFonts w:ascii="Calibri" w:hAnsi="Calibri" w:cs="Calibri"/>
                <w:b/>
                <w:sz w:val="20"/>
              </w:rPr>
              <w:t>No grade</w:t>
            </w:r>
          </w:p>
        </w:tc>
      </w:tr>
      <w:tr w:rsidR="000833A3" w:rsidRPr="00CF1D0F" w:rsidTr="000E2992">
        <w:trPr>
          <w:cantSplit/>
        </w:trPr>
        <w:tc>
          <w:tcPr>
            <w:tcW w:w="2676" w:type="dxa"/>
            <w:vMerge/>
            <w:tcBorders>
              <w:left w:val="single" w:sz="12" w:space="0" w:color="auto"/>
              <w:bottom w:val="single" w:sz="12" w:space="0" w:color="auto"/>
              <w:right w:val="single" w:sz="12" w:space="0" w:color="auto"/>
            </w:tcBorders>
          </w:tcPr>
          <w:p w:rsidR="000833A3" w:rsidRPr="00CF1D0F" w:rsidRDefault="000833A3" w:rsidP="00475E9C">
            <w:pPr>
              <w:rPr>
                <w:rFonts w:ascii="Calibri" w:hAnsi="Calibri" w:cs="Calibri"/>
              </w:rPr>
            </w:pPr>
          </w:p>
        </w:tc>
        <w:tc>
          <w:tcPr>
            <w:tcW w:w="2520" w:type="dxa"/>
            <w:tcBorders>
              <w:left w:val="single" w:sz="12" w:space="0" w:color="auto"/>
            </w:tcBorders>
            <w:vAlign w:val="center"/>
          </w:tcPr>
          <w:p w:rsidR="000833A3" w:rsidRPr="00CF1D0F" w:rsidRDefault="000833A3" w:rsidP="00475E9C">
            <w:pPr>
              <w:pStyle w:val="Header"/>
              <w:jc w:val="center"/>
              <w:rPr>
                <w:rFonts w:ascii="Calibri" w:hAnsi="Calibri" w:cs="Calibri"/>
                <w:bCs/>
                <w:sz w:val="14"/>
              </w:rPr>
            </w:pPr>
            <w:r w:rsidRPr="00CF1D0F">
              <w:rPr>
                <w:rFonts w:ascii="Calibri" w:hAnsi="Calibri" w:cs="Calibri"/>
                <w:bCs/>
                <w:sz w:val="14"/>
              </w:rPr>
              <w:t>DATE PROFILE LAST UPDATED</w:t>
            </w:r>
          </w:p>
        </w:tc>
        <w:tc>
          <w:tcPr>
            <w:tcW w:w="2340" w:type="dxa"/>
            <w:vAlign w:val="center"/>
          </w:tcPr>
          <w:p w:rsidR="000833A3" w:rsidRPr="00CF1D0F" w:rsidRDefault="000833A3" w:rsidP="00475E9C">
            <w:pPr>
              <w:pStyle w:val="Header"/>
              <w:jc w:val="center"/>
              <w:rPr>
                <w:rFonts w:ascii="Calibri" w:hAnsi="Calibri" w:cs="Calibri"/>
                <w:bCs/>
                <w:sz w:val="14"/>
              </w:rPr>
            </w:pPr>
            <w:r>
              <w:rPr>
                <w:rFonts w:ascii="Calibri" w:hAnsi="Calibri" w:cs="Calibri"/>
                <w:bCs/>
                <w:sz w:val="14"/>
              </w:rPr>
              <w:t>February 2013</w:t>
            </w:r>
          </w:p>
        </w:tc>
        <w:tc>
          <w:tcPr>
            <w:tcW w:w="3380" w:type="dxa"/>
            <w:vMerge/>
            <w:vAlign w:val="center"/>
          </w:tcPr>
          <w:p w:rsidR="000833A3" w:rsidRPr="00CF1D0F" w:rsidRDefault="000833A3" w:rsidP="00475E9C">
            <w:pPr>
              <w:pStyle w:val="Header"/>
              <w:jc w:val="center"/>
              <w:rPr>
                <w:rFonts w:ascii="Calibri" w:hAnsi="Calibri" w:cs="Calibri"/>
                <w:bCs/>
                <w:sz w:val="20"/>
              </w:rPr>
            </w:pPr>
          </w:p>
        </w:tc>
      </w:tr>
    </w:tbl>
    <w:p w:rsidR="000833A3" w:rsidRPr="00CF1D0F" w:rsidRDefault="000833A3" w:rsidP="000833A3">
      <w:pPr>
        <w:pStyle w:val="Header"/>
        <w:rPr>
          <w:rFonts w:ascii="Calibri" w:hAnsi="Calibri" w:cs="Calibri"/>
          <w:sz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2450"/>
        <w:gridCol w:w="2440"/>
        <w:gridCol w:w="3318"/>
      </w:tblGrid>
      <w:tr w:rsidR="000833A3" w:rsidTr="000E2992">
        <w:tc>
          <w:tcPr>
            <w:tcW w:w="2708" w:type="dxa"/>
            <w:tcBorders>
              <w:top w:val="nil"/>
              <w:left w:val="nil"/>
              <w:bottom w:val="single" w:sz="12" w:space="0" w:color="auto"/>
              <w:right w:val="nil"/>
            </w:tcBorders>
          </w:tcPr>
          <w:p w:rsidR="000833A3" w:rsidRDefault="000833A3" w:rsidP="00475E9C">
            <w:pPr>
              <w:rPr>
                <w:rFonts w:ascii="Tahoma" w:hAnsi="Tahoma" w:cs="Tahoma"/>
                <w:sz w:val="12"/>
              </w:rPr>
            </w:pPr>
          </w:p>
        </w:tc>
        <w:tc>
          <w:tcPr>
            <w:tcW w:w="2450" w:type="dxa"/>
            <w:tcBorders>
              <w:top w:val="nil"/>
              <w:left w:val="nil"/>
              <w:bottom w:val="single" w:sz="12" w:space="0" w:color="auto"/>
              <w:right w:val="nil"/>
            </w:tcBorders>
          </w:tcPr>
          <w:p w:rsidR="000833A3" w:rsidRDefault="000833A3" w:rsidP="00475E9C">
            <w:pPr>
              <w:rPr>
                <w:rFonts w:ascii="Tahoma" w:hAnsi="Tahoma" w:cs="Tahoma"/>
                <w:sz w:val="12"/>
              </w:rPr>
            </w:pPr>
          </w:p>
        </w:tc>
        <w:tc>
          <w:tcPr>
            <w:tcW w:w="5758" w:type="dxa"/>
            <w:gridSpan w:val="2"/>
            <w:vMerge w:val="restart"/>
            <w:tcBorders>
              <w:top w:val="nil"/>
              <w:left w:val="nil"/>
              <w:right w:val="single" w:sz="4" w:space="0" w:color="auto"/>
            </w:tcBorders>
          </w:tcPr>
          <w:p w:rsidR="000833A3" w:rsidRDefault="000833A3" w:rsidP="00475E9C">
            <w:pPr>
              <w:spacing w:before="20" w:after="20"/>
              <w:jc w:val="center"/>
              <w:rPr>
                <w:rFonts w:ascii="Tahoma" w:hAnsi="Tahoma" w:cs="Tahoma"/>
                <w:sz w:val="16"/>
              </w:rPr>
            </w:pPr>
          </w:p>
        </w:tc>
      </w:tr>
      <w:tr w:rsidR="000833A3" w:rsidRPr="00CF1D0F" w:rsidTr="000E2992">
        <w:tc>
          <w:tcPr>
            <w:tcW w:w="2708" w:type="dxa"/>
            <w:tcBorders>
              <w:top w:val="single" w:sz="12" w:space="0" w:color="auto"/>
              <w:left w:val="single" w:sz="12" w:space="0" w:color="auto"/>
            </w:tcBorders>
            <w:shd w:val="clear" w:color="auto" w:fill="E6E6E6"/>
            <w:vAlign w:val="center"/>
          </w:tcPr>
          <w:p w:rsidR="000833A3" w:rsidRPr="00CF1D0F" w:rsidRDefault="00D46C10" w:rsidP="00475E9C">
            <w:pPr>
              <w:spacing w:before="160" w:after="160"/>
              <w:jc w:val="center"/>
              <w:rPr>
                <w:rFonts w:ascii="Calibri" w:hAnsi="Calibri" w:cs="Calibri"/>
                <w:b/>
                <w:bCs/>
                <w:sz w:val="18"/>
              </w:rPr>
            </w:pPr>
            <w:r>
              <w:rPr>
                <w:rFonts w:ascii="Calibri" w:hAnsi="Calibri" w:cs="Calibri"/>
                <w:b/>
                <w:bCs/>
                <w:sz w:val="18"/>
              </w:rPr>
              <w:t>POST</w:t>
            </w:r>
            <w:r w:rsidR="000833A3" w:rsidRPr="00CF1D0F">
              <w:rPr>
                <w:rFonts w:ascii="Calibri" w:hAnsi="Calibri" w:cs="Calibri"/>
                <w:b/>
                <w:bCs/>
                <w:sz w:val="18"/>
              </w:rPr>
              <w:t xml:space="preserve"> TITLE</w:t>
            </w:r>
          </w:p>
        </w:tc>
        <w:tc>
          <w:tcPr>
            <w:tcW w:w="2450" w:type="dxa"/>
            <w:tcBorders>
              <w:top w:val="single" w:sz="12" w:space="0" w:color="auto"/>
              <w:right w:val="single" w:sz="12" w:space="0" w:color="auto"/>
            </w:tcBorders>
            <w:vAlign w:val="center"/>
          </w:tcPr>
          <w:p w:rsidR="000833A3" w:rsidRPr="00CF1D0F" w:rsidRDefault="000833A3" w:rsidP="00475E9C">
            <w:pPr>
              <w:spacing w:before="60" w:after="60"/>
              <w:rPr>
                <w:rFonts w:ascii="Calibri" w:hAnsi="Calibri" w:cs="Calibri"/>
                <w:sz w:val="20"/>
              </w:rPr>
            </w:pPr>
            <w:r>
              <w:rPr>
                <w:rFonts w:ascii="Calibri" w:hAnsi="Calibri" w:cs="Calibri"/>
                <w:sz w:val="20"/>
              </w:rPr>
              <w:t xml:space="preserve">Head of Department </w:t>
            </w:r>
          </w:p>
        </w:tc>
        <w:tc>
          <w:tcPr>
            <w:tcW w:w="5758" w:type="dxa"/>
            <w:gridSpan w:val="2"/>
            <w:vMerge/>
            <w:tcBorders>
              <w:left w:val="single" w:sz="12" w:space="0" w:color="auto"/>
              <w:right w:val="single" w:sz="4" w:space="0" w:color="auto"/>
            </w:tcBorders>
            <w:shd w:val="clear" w:color="auto" w:fill="E6E6E6"/>
            <w:vAlign w:val="center"/>
          </w:tcPr>
          <w:p w:rsidR="000833A3" w:rsidRPr="00CF1D0F" w:rsidRDefault="000833A3" w:rsidP="00475E9C">
            <w:pPr>
              <w:spacing w:before="60" w:after="60"/>
              <w:jc w:val="center"/>
              <w:rPr>
                <w:rFonts w:ascii="Calibri" w:hAnsi="Calibri" w:cs="Calibri"/>
                <w:sz w:val="20"/>
              </w:rPr>
            </w:pPr>
          </w:p>
        </w:tc>
      </w:tr>
      <w:tr w:rsidR="000833A3" w:rsidRPr="00CF1D0F" w:rsidTr="000E2992">
        <w:tc>
          <w:tcPr>
            <w:tcW w:w="2708" w:type="dxa"/>
            <w:tcBorders>
              <w:left w:val="single" w:sz="12" w:space="0" w:color="auto"/>
            </w:tcBorders>
            <w:shd w:val="clear" w:color="auto" w:fill="E6E6E6"/>
            <w:vAlign w:val="center"/>
          </w:tcPr>
          <w:p w:rsidR="000833A3" w:rsidRPr="00D46C10" w:rsidRDefault="000833A3" w:rsidP="00475E9C">
            <w:pPr>
              <w:spacing w:before="160" w:after="160"/>
              <w:jc w:val="center"/>
              <w:rPr>
                <w:rFonts w:ascii="Calibri" w:hAnsi="Calibri" w:cs="Calibri"/>
                <w:bCs/>
                <w:sz w:val="18"/>
              </w:rPr>
            </w:pPr>
            <w:r w:rsidRPr="00D46C10">
              <w:rPr>
                <w:rFonts w:ascii="Calibri" w:hAnsi="Calibri" w:cs="Calibri"/>
                <w:bCs/>
                <w:sz w:val="18"/>
              </w:rPr>
              <w:t>FACULTY</w:t>
            </w:r>
          </w:p>
        </w:tc>
        <w:tc>
          <w:tcPr>
            <w:tcW w:w="2450" w:type="dxa"/>
            <w:tcBorders>
              <w:right w:val="single" w:sz="12" w:space="0" w:color="auto"/>
            </w:tcBorders>
            <w:vAlign w:val="center"/>
          </w:tcPr>
          <w:p w:rsidR="000833A3" w:rsidRPr="00CF1D0F" w:rsidRDefault="000833A3" w:rsidP="00475E9C">
            <w:pPr>
              <w:spacing w:before="60" w:after="60"/>
              <w:jc w:val="center"/>
              <w:rPr>
                <w:rFonts w:ascii="Calibri" w:hAnsi="Calibri" w:cs="Calibri"/>
                <w:sz w:val="20"/>
              </w:rPr>
            </w:pPr>
            <w:r>
              <w:rPr>
                <w:rFonts w:ascii="Calibri" w:hAnsi="Calibri" w:cs="Calibri"/>
                <w:sz w:val="20"/>
              </w:rPr>
              <w:t>All</w:t>
            </w:r>
          </w:p>
        </w:tc>
        <w:tc>
          <w:tcPr>
            <w:tcW w:w="2440" w:type="dxa"/>
            <w:tcBorders>
              <w:left w:val="single" w:sz="12" w:space="0" w:color="auto"/>
            </w:tcBorders>
            <w:shd w:val="clear" w:color="auto" w:fill="E6E6E6"/>
            <w:vAlign w:val="center"/>
          </w:tcPr>
          <w:p w:rsidR="000833A3" w:rsidRPr="00CF1D0F" w:rsidRDefault="000833A3" w:rsidP="00475E9C">
            <w:pPr>
              <w:spacing w:before="60" w:after="60"/>
              <w:jc w:val="center"/>
              <w:rPr>
                <w:rFonts w:ascii="Calibri" w:hAnsi="Calibri" w:cs="Calibri"/>
                <w:b/>
                <w:bCs/>
                <w:sz w:val="18"/>
              </w:rPr>
            </w:pPr>
            <w:r w:rsidRPr="00CF1D0F">
              <w:rPr>
                <w:rFonts w:ascii="Calibri" w:hAnsi="Calibri" w:cs="Calibri"/>
                <w:b/>
                <w:bCs/>
                <w:sz w:val="18"/>
              </w:rPr>
              <w:t>REPORTING STRUCTURE</w:t>
            </w:r>
          </w:p>
        </w:tc>
        <w:tc>
          <w:tcPr>
            <w:tcW w:w="3318" w:type="dxa"/>
            <w:vAlign w:val="center"/>
          </w:tcPr>
          <w:p w:rsidR="000833A3" w:rsidRPr="00CF1D0F" w:rsidRDefault="000833A3" w:rsidP="00475E9C">
            <w:pPr>
              <w:spacing w:before="60" w:after="60"/>
              <w:jc w:val="center"/>
              <w:rPr>
                <w:rFonts w:ascii="Calibri" w:hAnsi="Calibri" w:cs="Calibri"/>
                <w:sz w:val="20"/>
              </w:rPr>
            </w:pPr>
            <w:r>
              <w:rPr>
                <w:rFonts w:ascii="Calibri" w:hAnsi="Calibri" w:cs="Calibri"/>
                <w:sz w:val="20"/>
              </w:rPr>
              <w:t>Dean</w:t>
            </w:r>
          </w:p>
        </w:tc>
      </w:tr>
      <w:tr w:rsidR="000833A3" w:rsidRPr="00CF1D0F" w:rsidTr="000E2992">
        <w:tc>
          <w:tcPr>
            <w:tcW w:w="2708" w:type="dxa"/>
            <w:tcBorders>
              <w:left w:val="single" w:sz="12" w:space="0" w:color="auto"/>
            </w:tcBorders>
            <w:shd w:val="clear" w:color="auto" w:fill="E6E6E6"/>
            <w:vAlign w:val="center"/>
          </w:tcPr>
          <w:p w:rsidR="000833A3" w:rsidRPr="00CF1D0F" w:rsidRDefault="000833A3" w:rsidP="00475E9C">
            <w:pPr>
              <w:spacing w:before="160" w:after="160"/>
              <w:jc w:val="center"/>
              <w:rPr>
                <w:rFonts w:ascii="Calibri" w:hAnsi="Calibri" w:cs="Calibri"/>
                <w:b/>
                <w:bCs/>
                <w:sz w:val="18"/>
              </w:rPr>
            </w:pPr>
            <w:r w:rsidRPr="00CF1D0F">
              <w:rPr>
                <w:rFonts w:ascii="Calibri" w:hAnsi="Calibri" w:cs="Calibri"/>
                <w:b/>
                <w:bCs/>
                <w:sz w:val="18"/>
              </w:rPr>
              <w:t>JOB TYPE (ACADEMIC/SUPPORT)</w:t>
            </w:r>
          </w:p>
        </w:tc>
        <w:tc>
          <w:tcPr>
            <w:tcW w:w="2450" w:type="dxa"/>
            <w:tcBorders>
              <w:right w:val="single" w:sz="12" w:space="0" w:color="auto"/>
            </w:tcBorders>
            <w:vAlign w:val="center"/>
          </w:tcPr>
          <w:p w:rsidR="000833A3" w:rsidRPr="00CF1D0F" w:rsidRDefault="000833A3" w:rsidP="00475E9C">
            <w:pPr>
              <w:spacing w:before="60" w:after="60"/>
              <w:jc w:val="center"/>
              <w:rPr>
                <w:rFonts w:ascii="Calibri" w:hAnsi="Calibri" w:cs="Calibri"/>
                <w:sz w:val="20"/>
              </w:rPr>
            </w:pPr>
            <w:r w:rsidRPr="00CF1D0F">
              <w:rPr>
                <w:rFonts w:ascii="Calibri" w:hAnsi="Calibri" w:cs="Calibri"/>
                <w:sz w:val="20"/>
              </w:rPr>
              <w:t>Academic</w:t>
            </w:r>
          </w:p>
        </w:tc>
        <w:tc>
          <w:tcPr>
            <w:tcW w:w="2440" w:type="dxa"/>
            <w:tcBorders>
              <w:left w:val="single" w:sz="12" w:space="0" w:color="auto"/>
            </w:tcBorders>
            <w:shd w:val="clear" w:color="auto" w:fill="E6E6E6"/>
            <w:vAlign w:val="center"/>
          </w:tcPr>
          <w:p w:rsidR="000833A3" w:rsidRPr="00CF1D0F" w:rsidRDefault="000833A3" w:rsidP="00475E9C">
            <w:pPr>
              <w:spacing w:before="60" w:after="60"/>
              <w:jc w:val="center"/>
              <w:rPr>
                <w:rFonts w:ascii="Calibri" w:hAnsi="Calibri" w:cs="Calibri"/>
                <w:b/>
                <w:bCs/>
                <w:sz w:val="18"/>
              </w:rPr>
            </w:pPr>
            <w:r w:rsidRPr="00CF1D0F">
              <w:rPr>
                <w:rFonts w:ascii="Calibri" w:hAnsi="Calibri" w:cs="Calibri"/>
                <w:b/>
                <w:bCs/>
                <w:sz w:val="18"/>
              </w:rPr>
              <w:t>CONTRACT/PERMANENT</w:t>
            </w:r>
          </w:p>
        </w:tc>
        <w:tc>
          <w:tcPr>
            <w:tcW w:w="3318" w:type="dxa"/>
            <w:vAlign w:val="center"/>
          </w:tcPr>
          <w:p w:rsidR="000833A3" w:rsidRPr="00CF1D0F" w:rsidRDefault="000833A3" w:rsidP="00475E9C">
            <w:pPr>
              <w:spacing w:before="60" w:after="60"/>
              <w:jc w:val="center"/>
              <w:rPr>
                <w:rFonts w:ascii="Calibri" w:hAnsi="Calibri" w:cs="Calibri"/>
                <w:sz w:val="20"/>
              </w:rPr>
            </w:pPr>
            <w:r>
              <w:rPr>
                <w:rFonts w:ascii="Calibri" w:hAnsi="Calibri" w:cs="Calibri"/>
                <w:sz w:val="20"/>
              </w:rPr>
              <w:t>Contract, 3 years</w:t>
            </w:r>
            <w:r w:rsidR="00D46C10">
              <w:rPr>
                <w:rFonts w:ascii="Calibri" w:hAnsi="Calibri" w:cs="Calibri"/>
                <w:sz w:val="20"/>
              </w:rPr>
              <w:t xml:space="preserve">, usually from 1 July </w:t>
            </w:r>
          </w:p>
        </w:tc>
      </w:tr>
      <w:tr w:rsidR="000833A3" w:rsidRPr="00CF1D0F" w:rsidTr="000E2992">
        <w:tc>
          <w:tcPr>
            <w:tcW w:w="2708" w:type="dxa"/>
            <w:tcBorders>
              <w:left w:val="single" w:sz="12" w:space="0" w:color="auto"/>
              <w:bottom w:val="single" w:sz="12" w:space="0" w:color="auto"/>
            </w:tcBorders>
            <w:shd w:val="clear" w:color="auto" w:fill="E6E6E6"/>
            <w:vAlign w:val="center"/>
          </w:tcPr>
          <w:p w:rsidR="000833A3" w:rsidRPr="00CF1D0F" w:rsidRDefault="000833A3" w:rsidP="00475E9C">
            <w:pPr>
              <w:spacing w:before="160" w:after="160"/>
              <w:jc w:val="center"/>
              <w:rPr>
                <w:rFonts w:ascii="Calibri" w:hAnsi="Calibri" w:cs="Calibri"/>
                <w:b/>
                <w:bCs/>
                <w:sz w:val="18"/>
              </w:rPr>
            </w:pPr>
            <w:r>
              <w:rPr>
                <w:rFonts w:ascii="Calibri" w:hAnsi="Calibri" w:cs="Calibri"/>
                <w:b/>
                <w:bCs/>
                <w:sz w:val="18"/>
              </w:rPr>
              <w:t>Outside funded (yes or no)</w:t>
            </w:r>
          </w:p>
        </w:tc>
        <w:tc>
          <w:tcPr>
            <w:tcW w:w="2450" w:type="dxa"/>
            <w:tcBorders>
              <w:bottom w:val="single" w:sz="12" w:space="0" w:color="auto"/>
              <w:right w:val="single" w:sz="12" w:space="0" w:color="auto"/>
            </w:tcBorders>
            <w:vAlign w:val="center"/>
          </w:tcPr>
          <w:p w:rsidR="000833A3" w:rsidRPr="00CF1D0F" w:rsidRDefault="000833A3" w:rsidP="00475E9C">
            <w:pPr>
              <w:spacing w:before="60" w:after="60"/>
              <w:jc w:val="center"/>
              <w:rPr>
                <w:rFonts w:ascii="Calibri" w:hAnsi="Calibri" w:cs="Calibri"/>
                <w:sz w:val="20"/>
              </w:rPr>
            </w:pPr>
            <w:r>
              <w:rPr>
                <w:rFonts w:ascii="Calibri" w:hAnsi="Calibri" w:cs="Calibri"/>
                <w:sz w:val="20"/>
              </w:rPr>
              <w:t>No</w:t>
            </w:r>
          </w:p>
        </w:tc>
        <w:tc>
          <w:tcPr>
            <w:tcW w:w="2440" w:type="dxa"/>
            <w:tcBorders>
              <w:left w:val="single" w:sz="12" w:space="0" w:color="auto"/>
              <w:bottom w:val="single" w:sz="12" w:space="0" w:color="auto"/>
            </w:tcBorders>
            <w:shd w:val="clear" w:color="auto" w:fill="E6E6E6"/>
            <w:vAlign w:val="center"/>
          </w:tcPr>
          <w:p w:rsidR="000833A3" w:rsidRPr="00CF1D0F" w:rsidRDefault="000833A3" w:rsidP="00475E9C">
            <w:pPr>
              <w:spacing w:before="60" w:after="60"/>
              <w:jc w:val="center"/>
              <w:rPr>
                <w:rFonts w:ascii="Calibri" w:hAnsi="Calibri" w:cs="Calibri"/>
                <w:b/>
                <w:bCs/>
                <w:sz w:val="18"/>
              </w:rPr>
            </w:pPr>
            <w:r>
              <w:rPr>
                <w:rFonts w:ascii="Calibri" w:hAnsi="Calibri" w:cs="Calibri"/>
                <w:b/>
                <w:bCs/>
                <w:sz w:val="18"/>
              </w:rPr>
              <w:t>Full-time/part-time</w:t>
            </w:r>
          </w:p>
        </w:tc>
        <w:tc>
          <w:tcPr>
            <w:tcW w:w="3318" w:type="dxa"/>
            <w:tcBorders>
              <w:bottom w:val="single" w:sz="12" w:space="0" w:color="auto"/>
            </w:tcBorders>
            <w:vAlign w:val="center"/>
          </w:tcPr>
          <w:p w:rsidR="000833A3" w:rsidRPr="00CF1D0F" w:rsidRDefault="000833A3" w:rsidP="00475E9C">
            <w:pPr>
              <w:spacing w:before="60" w:after="60"/>
              <w:jc w:val="center"/>
              <w:rPr>
                <w:rFonts w:ascii="Calibri" w:hAnsi="Calibri" w:cs="Calibri"/>
                <w:sz w:val="20"/>
              </w:rPr>
            </w:pPr>
            <w:r>
              <w:rPr>
                <w:rFonts w:ascii="Calibri" w:hAnsi="Calibri" w:cs="Calibri"/>
                <w:sz w:val="20"/>
              </w:rPr>
              <w:t>Adjunct to academic role</w:t>
            </w:r>
          </w:p>
        </w:tc>
      </w:tr>
    </w:tbl>
    <w:p w:rsidR="000833A3" w:rsidRPr="00CF1D0F" w:rsidRDefault="000833A3" w:rsidP="000833A3">
      <w:pPr>
        <w:rPr>
          <w:rFonts w:ascii="Calibri" w:hAnsi="Calibri" w:cs="Calibri"/>
          <w:sz w:val="4"/>
        </w:rPr>
      </w:pPr>
    </w:p>
    <w:tbl>
      <w:tblPr>
        <w:tblW w:w="10916"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0833A3" w:rsidRPr="00CF1D0F" w:rsidTr="000E2992">
        <w:tc>
          <w:tcPr>
            <w:tcW w:w="10916" w:type="dxa"/>
            <w:shd w:val="clear" w:color="auto" w:fill="E6E6E6"/>
          </w:tcPr>
          <w:p w:rsidR="000833A3" w:rsidRPr="00CF1D0F" w:rsidRDefault="000833A3" w:rsidP="00475E9C">
            <w:pPr>
              <w:spacing w:before="40" w:after="40"/>
              <w:jc w:val="center"/>
              <w:rPr>
                <w:rFonts w:ascii="Calibri" w:hAnsi="Calibri" w:cs="Calibri"/>
                <w:b/>
                <w:bCs/>
                <w:i/>
                <w:iCs/>
                <w:sz w:val="20"/>
              </w:rPr>
            </w:pPr>
            <w:r w:rsidRPr="00CF1D0F">
              <w:rPr>
                <w:rFonts w:ascii="Calibri" w:hAnsi="Calibri" w:cs="Calibri"/>
                <w:b/>
                <w:bCs/>
                <w:i/>
                <w:iCs/>
                <w:sz w:val="20"/>
              </w:rPr>
              <w:t>MAIN JOB OBJECTIVE/S</w:t>
            </w:r>
          </w:p>
        </w:tc>
      </w:tr>
      <w:tr w:rsidR="000833A3" w:rsidRPr="00CF1D0F" w:rsidTr="000E2992">
        <w:trPr>
          <w:trHeight w:val="633"/>
        </w:trPr>
        <w:tc>
          <w:tcPr>
            <w:tcW w:w="10916" w:type="dxa"/>
          </w:tcPr>
          <w:p w:rsidR="000833A3" w:rsidRPr="001109A5" w:rsidRDefault="000833A3" w:rsidP="00475E9C">
            <w:pPr>
              <w:rPr>
                <w:rFonts w:ascii="Calibri" w:hAnsi="Calibri" w:cs="Calibri"/>
                <w:sz w:val="22"/>
                <w:szCs w:val="22"/>
              </w:rPr>
            </w:pPr>
            <w:r w:rsidRPr="001109A5">
              <w:rPr>
                <w:rFonts w:ascii="Calibri" w:hAnsi="Calibri" w:cs="Calibri"/>
                <w:sz w:val="22"/>
                <w:szCs w:val="22"/>
              </w:rPr>
              <w:t xml:space="preserve">The role of the </w:t>
            </w:r>
            <w:r>
              <w:rPr>
                <w:rFonts w:ascii="Calibri" w:hAnsi="Calibri" w:cs="Calibri"/>
                <w:sz w:val="22"/>
                <w:szCs w:val="22"/>
              </w:rPr>
              <w:t>Head of the academic department (HoD)</w:t>
            </w:r>
            <w:r w:rsidRPr="001109A5">
              <w:rPr>
                <w:rFonts w:ascii="Calibri" w:hAnsi="Calibri" w:cs="Calibri"/>
                <w:sz w:val="22"/>
                <w:szCs w:val="22"/>
              </w:rPr>
              <w:t xml:space="preserve"> is to:</w:t>
            </w:r>
          </w:p>
          <w:p w:rsidR="000833A3" w:rsidRPr="001109A5" w:rsidRDefault="000833A3" w:rsidP="000833A3">
            <w:pPr>
              <w:numPr>
                <w:ilvl w:val="0"/>
                <w:numId w:val="19"/>
              </w:numPr>
              <w:rPr>
                <w:rFonts w:ascii="Calibri" w:hAnsi="Calibri" w:cs="Calibri"/>
                <w:sz w:val="22"/>
                <w:szCs w:val="22"/>
              </w:rPr>
            </w:pPr>
            <w:r w:rsidRPr="001109A5">
              <w:rPr>
                <w:rFonts w:ascii="Calibri" w:hAnsi="Calibri" w:cs="Calibri"/>
                <w:sz w:val="22"/>
                <w:szCs w:val="22"/>
              </w:rPr>
              <w:t xml:space="preserve">Provide intellectual and academic leadership, </w:t>
            </w:r>
          </w:p>
          <w:p w:rsidR="000833A3" w:rsidRDefault="000833A3" w:rsidP="000833A3">
            <w:pPr>
              <w:numPr>
                <w:ilvl w:val="0"/>
                <w:numId w:val="19"/>
              </w:numPr>
              <w:rPr>
                <w:rFonts w:ascii="Calibri" w:hAnsi="Calibri" w:cs="Calibri"/>
                <w:sz w:val="22"/>
                <w:szCs w:val="22"/>
              </w:rPr>
            </w:pPr>
            <w:r>
              <w:rPr>
                <w:rFonts w:ascii="Calibri" w:hAnsi="Calibri" w:cs="Calibri"/>
                <w:sz w:val="22"/>
                <w:szCs w:val="22"/>
              </w:rPr>
              <w:t xml:space="preserve">Lead and manage </w:t>
            </w:r>
            <w:r w:rsidRPr="00DF5B20">
              <w:rPr>
                <w:rFonts w:ascii="Calibri" w:hAnsi="Calibri" w:cs="Calibri"/>
                <w:sz w:val="22"/>
                <w:szCs w:val="22"/>
              </w:rPr>
              <w:t>p</w:t>
            </w:r>
            <w:r>
              <w:rPr>
                <w:rFonts w:ascii="Calibri" w:hAnsi="Calibri" w:cs="Calibri"/>
                <w:sz w:val="22"/>
                <w:szCs w:val="22"/>
              </w:rPr>
              <w:t>eople, p</w:t>
            </w:r>
            <w:r w:rsidRPr="00DF5B20">
              <w:rPr>
                <w:rFonts w:ascii="Calibri" w:hAnsi="Calibri" w:cs="Calibri"/>
                <w:sz w:val="22"/>
                <w:szCs w:val="22"/>
              </w:rPr>
              <w:t>rocesse</w:t>
            </w:r>
            <w:r>
              <w:rPr>
                <w:rFonts w:ascii="Calibri" w:hAnsi="Calibri" w:cs="Calibri"/>
                <w:sz w:val="22"/>
                <w:szCs w:val="22"/>
              </w:rPr>
              <w:t>s, resources and associated administration,</w:t>
            </w:r>
          </w:p>
          <w:p w:rsidR="000833A3" w:rsidRPr="00844F38" w:rsidRDefault="000833A3" w:rsidP="000833A3">
            <w:pPr>
              <w:numPr>
                <w:ilvl w:val="0"/>
                <w:numId w:val="19"/>
              </w:numPr>
              <w:rPr>
                <w:rFonts w:ascii="Calibri" w:hAnsi="Calibri" w:cs="Calibri"/>
                <w:sz w:val="22"/>
                <w:szCs w:val="22"/>
              </w:rPr>
            </w:pPr>
            <w:r w:rsidRPr="00844F38">
              <w:rPr>
                <w:rFonts w:ascii="Calibri" w:hAnsi="Calibri" w:cs="Calibri"/>
                <w:sz w:val="22"/>
                <w:szCs w:val="22"/>
              </w:rPr>
              <w:t xml:space="preserve">Represent the </w:t>
            </w:r>
            <w:r>
              <w:rPr>
                <w:rFonts w:ascii="Calibri" w:hAnsi="Calibri" w:cs="Calibri"/>
                <w:sz w:val="22"/>
                <w:szCs w:val="22"/>
              </w:rPr>
              <w:t>department both internally and externally to the institution</w:t>
            </w:r>
            <w:r w:rsidRPr="00844F38">
              <w:rPr>
                <w:rFonts w:ascii="Calibri" w:hAnsi="Calibri" w:cs="Calibri"/>
                <w:sz w:val="22"/>
                <w:szCs w:val="22"/>
              </w:rPr>
              <w:t>,</w:t>
            </w:r>
            <w:r>
              <w:rPr>
                <w:rFonts w:ascii="Calibri" w:hAnsi="Calibri" w:cs="Calibri"/>
                <w:sz w:val="22"/>
                <w:szCs w:val="22"/>
              </w:rPr>
              <w:t xml:space="preserve"> championing of the needs of the department where necessary,</w:t>
            </w:r>
            <w:r w:rsidRPr="00844F38">
              <w:rPr>
                <w:rFonts w:ascii="Calibri" w:hAnsi="Calibri" w:cs="Calibri"/>
                <w:sz w:val="22"/>
                <w:szCs w:val="22"/>
              </w:rPr>
              <w:t xml:space="preserve"> </w:t>
            </w:r>
          </w:p>
          <w:p w:rsidR="000833A3" w:rsidRPr="001109A5" w:rsidRDefault="000833A3" w:rsidP="00475E9C">
            <w:pPr>
              <w:rPr>
                <w:rFonts w:ascii="Calibri" w:hAnsi="Calibri" w:cs="Calibri"/>
                <w:sz w:val="22"/>
                <w:szCs w:val="22"/>
              </w:rPr>
            </w:pPr>
            <w:r w:rsidRPr="001109A5">
              <w:rPr>
                <w:rFonts w:ascii="Calibri" w:hAnsi="Calibri" w:cs="Calibri"/>
                <w:sz w:val="22"/>
                <w:szCs w:val="22"/>
              </w:rPr>
              <w:t>In addi</w:t>
            </w:r>
            <w:r>
              <w:rPr>
                <w:rFonts w:ascii="Calibri" w:hAnsi="Calibri" w:cs="Calibri"/>
                <w:sz w:val="22"/>
                <w:szCs w:val="22"/>
              </w:rPr>
              <w:t>tion, as a member of the leadership of the Faculty and institution</w:t>
            </w:r>
            <w:r w:rsidRPr="001109A5">
              <w:rPr>
                <w:rFonts w:ascii="Calibri" w:hAnsi="Calibri" w:cs="Calibri"/>
                <w:sz w:val="22"/>
                <w:szCs w:val="22"/>
              </w:rPr>
              <w:t xml:space="preserve">, the </w:t>
            </w:r>
            <w:r>
              <w:rPr>
                <w:rFonts w:ascii="Calibri" w:hAnsi="Calibri" w:cs="Calibri"/>
                <w:sz w:val="22"/>
                <w:szCs w:val="22"/>
              </w:rPr>
              <w:t>HoD</w:t>
            </w:r>
            <w:r w:rsidRPr="001109A5">
              <w:rPr>
                <w:rFonts w:ascii="Calibri" w:hAnsi="Calibri" w:cs="Calibri"/>
                <w:sz w:val="22"/>
                <w:szCs w:val="22"/>
              </w:rPr>
              <w:t xml:space="preserve"> is required to:</w:t>
            </w:r>
          </w:p>
          <w:p w:rsidR="000833A3" w:rsidRPr="00160B13" w:rsidRDefault="000833A3" w:rsidP="000833A3">
            <w:pPr>
              <w:numPr>
                <w:ilvl w:val="0"/>
                <w:numId w:val="19"/>
              </w:numPr>
              <w:rPr>
                <w:rFonts w:ascii="Calibri" w:hAnsi="Calibri" w:cs="Calibri"/>
                <w:sz w:val="20"/>
              </w:rPr>
            </w:pPr>
            <w:r w:rsidRPr="001109A5">
              <w:rPr>
                <w:rFonts w:ascii="Calibri" w:hAnsi="Calibri" w:cs="Calibri"/>
                <w:sz w:val="22"/>
                <w:szCs w:val="22"/>
              </w:rPr>
              <w:t xml:space="preserve">Contribute to overall </w:t>
            </w:r>
            <w:r>
              <w:rPr>
                <w:rFonts w:ascii="Calibri" w:hAnsi="Calibri" w:cs="Calibri"/>
                <w:sz w:val="22"/>
                <w:szCs w:val="22"/>
              </w:rPr>
              <w:t>leadership and direction of the Faculty,</w:t>
            </w:r>
          </w:p>
          <w:p w:rsidR="000833A3" w:rsidRPr="00083B0D" w:rsidRDefault="000833A3" w:rsidP="000833A3">
            <w:pPr>
              <w:numPr>
                <w:ilvl w:val="0"/>
                <w:numId w:val="19"/>
              </w:numPr>
              <w:rPr>
                <w:rFonts w:ascii="Calibri" w:hAnsi="Calibri" w:cs="Calibri"/>
                <w:sz w:val="20"/>
              </w:rPr>
            </w:pPr>
            <w:r>
              <w:rPr>
                <w:rFonts w:ascii="Calibri" w:hAnsi="Calibri" w:cs="Calibri"/>
                <w:sz w:val="22"/>
                <w:szCs w:val="22"/>
              </w:rPr>
              <w:t xml:space="preserve">Contribute to the overall </w:t>
            </w:r>
            <w:r w:rsidRPr="001109A5">
              <w:rPr>
                <w:rFonts w:ascii="Calibri" w:hAnsi="Calibri" w:cs="Calibri"/>
                <w:sz w:val="22"/>
                <w:szCs w:val="22"/>
              </w:rPr>
              <w:t>institu</w:t>
            </w:r>
            <w:r>
              <w:rPr>
                <w:rFonts w:ascii="Calibri" w:hAnsi="Calibri" w:cs="Calibri"/>
                <w:sz w:val="22"/>
                <w:szCs w:val="22"/>
              </w:rPr>
              <w:t>tional leadership and direction of the University.</w:t>
            </w:r>
          </w:p>
          <w:p w:rsidR="000833A3" w:rsidRPr="00CF1D0F" w:rsidRDefault="000833A3" w:rsidP="00475E9C">
            <w:pPr>
              <w:rPr>
                <w:rFonts w:ascii="Calibri" w:hAnsi="Calibri" w:cs="Calibri"/>
                <w:sz w:val="20"/>
              </w:rPr>
            </w:pPr>
            <w:r>
              <w:rPr>
                <w:rFonts w:ascii="Calibri" w:hAnsi="Calibri" w:cs="Calibri"/>
                <w:sz w:val="22"/>
                <w:szCs w:val="22"/>
              </w:rPr>
              <w:t>It is recognised that these roles intersect and are integrally connected.</w:t>
            </w:r>
          </w:p>
        </w:tc>
      </w:tr>
    </w:tbl>
    <w:p w:rsidR="000833A3" w:rsidRPr="00CF1D0F" w:rsidRDefault="000833A3" w:rsidP="000833A3">
      <w:pPr>
        <w:rPr>
          <w:rFonts w:ascii="Calibri" w:hAnsi="Calibri" w:cs="Calibri"/>
          <w:sz w:val="4"/>
          <w:szCs w:val="4"/>
        </w:rPr>
      </w:pPr>
    </w:p>
    <w:tbl>
      <w:tblPr>
        <w:tblW w:w="10916"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37"/>
        <w:gridCol w:w="567"/>
        <w:gridCol w:w="5812"/>
      </w:tblGrid>
      <w:tr w:rsidR="000833A3" w:rsidRPr="00CF1D0F" w:rsidTr="000E2992">
        <w:tc>
          <w:tcPr>
            <w:tcW w:w="4537" w:type="dxa"/>
            <w:shd w:val="clear" w:color="auto" w:fill="E6E6E6"/>
          </w:tcPr>
          <w:p w:rsidR="000833A3" w:rsidRPr="00CF1D0F" w:rsidRDefault="000833A3" w:rsidP="00475E9C">
            <w:pPr>
              <w:spacing w:before="40" w:after="40"/>
              <w:jc w:val="center"/>
              <w:rPr>
                <w:rFonts w:ascii="Calibri" w:hAnsi="Calibri" w:cs="Calibri"/>
                <w:b/>
                <w:bCs/>
                <w:i/>
                <w:iCs/>
                <w:sz w:val="20"/>
              </w:rPr>
            </w:pPr>
            <w:r w:rsidRPr="00CF1D0F">
              <w:rPr>
                <w:rFonts w:ascii="Calibri" w:hAnsi="Calibri" w:cs="Calibri"/>
                <w:b/>
                <w:bCs/>
                <w:i/>
                <w:iCs/>
                <w:sz w:val="22"/>
                <w:lang w:val="en-US"/>
              </w:rPr>
              <w:t xml:space="preserve">DESCRIPTION OF KEY </w:t>
            </w:r>
            <w:r>
              <w:rPr>
                <w:rFonts w:ascii="Calibri" w:hAnsi="Calibri" w:cs="Calibri"/>
                <w:b/>
                <w:bCs/>
                <w:i/>
                <w:iCs/>
                <w:sz w:val="22"/>
                <w:lang w:val="en-US"/>
              </w:rPr>
              <w:t>ROLES and RESPONSIBILITIES</w:t>
            </w:r>
            <w:r w:rsidRPr="00CF1D0F">
              <w:rPr>
                <w:rFonts w:ascii="Calibri" w:hAnsi="Calibri" w:cs="Calibri"/>
                <w:b/>
                <w:bCs/>
                <w:i/>
                <w:iCs/>
                <w:sz w:val="22"/>
                <w:lang w:val="en-US"/>
              </w:rPr>
              <w:t xml:space="preserve"> </w:t>
            </w:r>
          </w:p>
        </w:tc>
        <w:tc>
          <w:tcPr>
            <w:tcW w:w="6379" w:type="dxa"/>
            <w:gridSpan w:val="2"/>
            <w:shd w:val="clear" w:color="auto" w:fill="E6E6E6"/>
          </w:tcPr>
          <w:p w:rsidR="000833A3" w:rsidRPr="00CF1D0F" w:rsidRDefault="000833A3" w:rsidP="00475E9C">
            <w:pPr>
              <w:spacing w:before="40" w:after="40"/>
              <w:jc w:val="center"/>
              <w:rPr>
                <w:rFonts w:ascii="Calibri" w:hAnsi="Calibri" w:cs="Calibri"/>
                <w:b/>
                <w:bCs/>
                <w:i/>
                <w:iCs/>
                <w:sz w:val="22"/>
                <w:lang w:val="en-US"/>
              </w:rPr>
            </w:pPr>
            <w:r>
              <w:rPr>
                <w:rFonts w:ascii="Calibri" w:hAnsi="Calibri" w:cs="Calibri"/>
                <w:b/>
                <w:bCs/>
                <w:i/>
                <w:iCs/>
                <w:sz w:val="22"/>
                <w:lang w:val="en-US"/>
              </w:rPr>
              <w:t xml:space="preserve">MINIMUM </w:t>
            </w:r>
            <w:r w:rsidRPr="00CF1D0F">
              <w:rPr>
                <w:rFonts w:ascii="Calibri" w:hAnsi="Calibri" w:cs="Calibri"/>
                <w:b/>
                <w:bCs/>
                <w:i/>
                <w:iCs/>
                <w:sz w:val="22"/>
                <w:lang w:val="en-US"/>
              </w:rPr>
              <w:t>STANDARD EXPECTED</w:t>
            </w:r>
            <w:r>
              <w:rPr>
                <w:rFonts w:ascii="Calibri" w:hAnsi="Calibri" w:cs="Calibri"/>
                <w:b/>
                <w:bCs/>
                <w:i/>
                <w:iCs/>
                <w:sz w:val="22"/>
                <w:lang w:val="en-US"/>
              </w:rPr>
              <w:t xml:space="preserve"> </w:t>
            </w:r>
          </w:p>
        </w:tc>
      </w:tr>
      <w:tr w:rsidR="000833A3" w:rsidRPr="00CF1D0F" w:rsidTr="000E2992">
        <w:tc>
          <w:tcPr>
            <w:tcW w:w="10916" w:type="dxa"/>
            <w:gridSpan w:val="3"/>
            <w:shd w:val="clear" w:color="auto" w:fill="auto"/>
          </w:tcPr>
          <w:p w:rsidR="000833A3" w:rsidRDefault="000833A3" w:rsidP="00475E9C">
            <w:pPr>
              <w:pStyle w:val="ListParagraph"/>
              <w:ind w:left="0"/>
              <w:rPr>
                <w:rFonts w:ascii="Calibri" w:hAnsi="Calibri" w:cs="Calibri"/>
                <w:sz w:val="20"/>
              </w:rPr>
            </w:pPr>
            <w:r w:rsidRPr="006E3973">
              <w:rPr>
                <w:rFonts w:ascii="Calibri" w:hAnsi="Calibri" w:cs="Calibri"/>
                <w:sz w:val="22"/>
                <w:szCs w:val="22"/>
              </w:rPr>
              <w:t xml:space="preserve">This is a generic role profile. </w:t>
            </w:r>
            <w:r w:rsidRPr="006E3973">
              <w:rPr>
                <w:rFonts w:ascii="Calibri" w:hAnsi="Calibri"/>
                <w:sz w:val="22"/>
                <w:szCs w:val="22"/>
              </w:rPr>
              <w:t xml:space="preserve">It is recognised that academic departments differ in a variety of ways and that the role of HoD may also differ. </w:t>
            </w:r>
            <w:r>
              <w:rPr>
                <w:rFonts w:ascii="Calibri" w:hAnsi="Calibri"/>
                <w:sz w:val="22"/>
                <w:szCs w:val="22"/>
              </w:rPr>
              <w:t xml:space="preserve">While the HoD may look to other senior academics to share the academic leadership role and/or the leadership and management roles, the HoD still remains responsible for the execution of these key roles and responsibilities. </w:t>
            </w:r>
          </w:p>
        </w:tc>
      </w:tr>
      <w:tr w:rsidR="000833A3" w:rsidRPr="00CF1D0F" w:rsidTr="000E2992">
        <w:tc>
          <w:tcPr>
            <w:tcW w:w="5104" w:type="dxa"/>
            <w:gridSpan w:val="2"/>
            <w:shd w:val="clear" w:color="auto" w:fill="auto"/>
          </w:tcPr>
          <w:p w:rsidR="000833A3" w:rsidRPr="00AE5678" w:rsidRDefault="000833A3" w:rsidP="00475E9C">
            <w:pPr>
              <w:pStyle w:val="Quote"/>
              <w:rPr>
                <w:rStyle w:val="BookTitle"/>
                <w:rFonts w:ascii="Calibri" w:hAnsi="Calibri"/>
                <w:bCs w:val="0"/>
                <w:smallCaps w:val="0"/>
                <w:sz w:val="28"/>
                <w:szCs w:val="28"/>
              </w:rPr>
            </w:pPr>
            <w:r w:rsidRPr="00AE5678">
              <w:rPr>
                <w:rStyle w:val="BookTitle"/>
                <w:rFonts w:ascii="Calibri" w:hAnsi="Calibri"/>
                <w:bCs w:val="0"/>
                <w:smallCaps w:val="0"/>
                <w:sz w:val="28"/>
                <w:szCs w:val="28"/>
              </w:rPr>
              <w:t>Intellectual and academic leadership including:</w:t>
            </w:r>
          </w:p>
          <w:p w:rsidR="000833A3" w:rsidRDefault="000833A3" w:rsidP="000833A3">
            <w:pPr>
              <w:numPr>
                <w:ilvl w:val="0"/>
                <w:numId w:val="18"/>
              </w:numPr>
              <w:ind w:left="360"/>
              <w:rPr>
                <w:rFonts w:ascii="Calibri" w:hAnsi="Calibri" w:cs="Calibri"/>
                <w:sz w:val="20"/>
              </w:rPr>
            </w:pPr>
            <w:r>
              <w:rPr>
                <w:rFonts w:ascii="Calibri" w:hAnsi="Calibri" w:cs="Calibri"/>
                <w:sz w:val="20"/>
              </w:rPr>
              <w:t xml:space="preserve">Driving and facilitating the positioning </w:t>
            </w:r>
            <w:r w:rsidRPr="00CE7530">
              <w:rPr>
                <w:rFonts w:ascii="Calibri" w:hAnsi="Calibri" w:cs="Calibri"/>
                <w:sz w:val="20"/>
              </w:rPr>
              <w:t xml:space="preserve">of the </w:t>
            </w:r>
            <w:r>
              <w:rPr>
                <w:rFonts w:ascii="Calibri" w:hAnsi="Calibri" w:cs="Calibri"/>
                <w:sz w:val="20"/>
              </w:rPr>
              <w:t>department</w:t>
            </w:r>
            <w:r w:rsidRPr="00CE7530">
              <w:rPr>
                <w:rFonts w:ascii="Calibri" w:hAnsi="Calibri" w:cs="Calibri"/>
                <w:sz w:val="20"/>
              </w:rPr>
              <w:t xml:space="preserve"> in</w:t>
            </w:r>
            <w:r>
              <w:rPr>
                <w:rFonts w:ascii="Calibri" w:hAnsi="Calibri" w:cs="Calibri"/>
                <w:sz w:val="20"/>
              </w:rPr>
              <w:t xml:space="preserve"> the Faculty and institution,</w:t>
            </w:r>
          </w:p>
          <w:p w:rsidR="000833A3" w:rsidRPr="00CE7530" w:rsidRDefault="000833A3" w:rsidP="000833A3">
            <w:pPr>
              <w:numPr>
                <w:ilvl w:val="0"/>
                <w:numId w:val="18"/>
              </w:numPr>
              <w:ind w:left="360"/>
              <w:rPr>
                <w:rFonts w:ascii="Calibri" w:hAnsi="Calibri" w:cs="Calibri"/>
                <w:sz w:val="20"/>
              </w:rPr>
            </w:pPr>
            <w:r>
              <w:rPr>
                <w:rFonts w:ascii="Calibri" w:hAnsi="Calibri" w:cs="Calibri"/>
                <w:sz w:val="20"/>
              </w:rPr>
              <w:t>Driving and facilitating the positioning of the department at the national and international milieu</w:t>
            </w:r>
            <w:r w:rsidRPr="00CE7530">
              <w:rPr>
                <w:rFonts w:ascii="Calibri" w:hAnsi="Calibri" w:cs="Calibri"/>
                <w:sz w:val="20"/>
              </w:rPr>
              <w:t xml:space="preserve"> with particular reference to the strategic imperatives of the</w:t>
            </w:r>
            <w:r>
              <w:rPr>
                <w:rFonts w:ascii="Calibri" w:hAnsi="Calibri" w:cs="Calibri"/>
                <w:sz w:val="20"/>
              </w:rPr>
              <w:t xml:space="preserve"> Faculty and</w:t>
            </w:r>
            <w:r w:rsidRPr="00CE7530">
              <w:rPr>
                <w:rFonts w:ascii="Calibri" w:hAnsi="Calibri" w:cs="Calibri"/>
                <w:sz w:val="20"/>
              </w:rPr>
              <w:t xml:space="preserve"> University;</w:t>
            </w:r>
          </w:p>
          <w:p w:rsidR="000833A3" w:rsidRPr="00CE7530" w:rsidRDefault="000833A3" w:rsidP="000833A3">
            <w:pPr>
              <w:numPr>
                <w:ilvl w:val="0"/>
                <w:numId w:val="18"/>
              </w:numPr>
              <w:ind w:left="360"/>
              <w:rPr>
                <w:rFonts w:ascii="Calibri" w:hAnsi="Calibri" w:cs="Calibri"/>
                <w:sz w:val="20"/>
              </w:rPr>
            </w:pPr>
            <w:r>
              <w:rPr>
                <w:rFonts w:ascii="Calibri" w:hAnsi="Calibri" w:cs="Calibri"/>
                <w:sz w:val="20"/>
              </w:rPr>
              <w:t xml:space="preserve">Ensuring </w:t>
            </w:r>
            <w:r w:rsidRPr="00CE7530">
              <w:rPr>
                <w:rFonts w:ascii="Calibri" w:hAnsi="Calibri" w:cs="Calibri"/>
                <w:sz w:val="20"/>
              </w:rPr>
              <w:t xml:space="preserve">awareness of the changes, challenges and opportunities within the HE sector, strategic imperatives of the institution and </w:t>
            </w:r>
            <w:r>
              <w:rPr>
                <w:rFonts w:ascii="Calibri" w:hAnsi="Calibri" w:cs="Calibri"/>
                <w:sz w:val="20"/>
              </w:rPr>
              <w:t xml:space="preserve">exploring </w:t>
            </w:r>
            <w:r w:rsidRPr="00CE7530">
              <w:rPr>
                <w:rFonts w:ascii="Calibri" w:hAnsi="Calibri" w:cs="Calibri"/>
                <w:sz w:val="20"/>
              </w:rPr>
              <w:t xml:space="preserve">what this means for </w:t>
            </w:r>
            <w:r>
              <w:rPr>
                <w:rFonts w:ascii="Calibri" w:hAnsi="Calibri" w:cs="Calibri"/>
                <w:sz w:val="20"/>
              </w:rPr>
              <w:t xml:space="preserve">one’s own </w:t>
            </w:r>
            <w:r w:rsidRPr="00CE7530">
              <w:rPr>
                <w:rFonts w:ascii="Calibri" w:hAnsi="Calibri" w:cs="Calibri"/>
                <w:sz w:val="20"/>
              </w:rPr>
              <w:t>academic departm</w:t>
            </w:r>
            <w:r>
              <w:rPr>
                <w:rFonts w:ascii="Calibri" w:hAnsi="Calibri" w:cs="Calibri"/>
                <w:sz w:val="20"/>
              </w:rPr>
              <w:t>ent and driving implementation of strategic imperatives at the departmental level</w:t>
            </w:r>
            <w:r w:rsidRPr="00CE7530">
              <w:rPr>
                <w:rFonts w:ascii="Calibri" w:hAnsi="Calibri" w:cs="Calibri"/>
                <w:sz w:val="20"/>
              </w:rPr>
              <w:t xml:space="preserve">;  </w:t>
            </w:r>
          </w:p>
          <w:p w:rsidR="000833A3" w:rsidRDefault="000833A3" w:rsidP="000833A3">
            <w:pPr>
              <w:numPr>
                <w:ilvl w:val="0"/>
                <w:numId w:val="18"/>
              </w:numPr>
              <w:ind w:left="360"/>
              <w:rPr>
                <w:rFonts w:ascii="Calibri" w:hAnsi="Calibri" w:cs="Calibri"/>
                <w:sz w:val="20"/>
              </w:rPr>
            </w:pPr>
            <w:r>
              <w:rPr>
                <w:rFonts w:ascii="Calibri" w:hAnsi="Calibri" w:cs="Calibri"/>
                <w:sz w:val="20"/>
              </w:rPr>
              <w:t>Providing intellectual academic leadership in terms of the department’s teaching and learning, research and/or community engagement activities;</w:t>
            </w:r>
          </w:p>
          <w:p w:rsidR="000833A3" w:rsidRDefault="000833A3" w:rsidP="000833A3">
            <w:pPr>
              <w:numPr>
                <w:ilvl w:val="0"/>
                <w:numId w:val="18"/>
              </w:numPr>
              <w:ind w:left="360"/>
              <w:rPr>
                <w:rFonts w:ascii="Calibri" w:hAnsi="Calibri" w:cs="Calibri"/>
                <w:sz w:val="20"/>
              </w:rPr>
            </w:pPr>
            <w:r>
              <w:rPr>
                <w:rFonts w:ascii="Calibri" w:hAnsi="Calibri" w:cs="Calibri"/>
                <w:sz w:val="20"/>
              </w:rPr>
              <w:t xml:space="preserve">Driving and facilitating </w:t>
            </w:r>
            <w:r w:rsidRPr="00CE7530">
              <w:rPr>
                <w:rFonts w:ascii="Calibri" w:hAnsi="Calibri" w:cs="Calibri"/>
                <w:sz w:val="20"/>
              </w:rPr>
              <w:t>the conceptualisation, interrogation, implementation and review of academic standards, processes and systems at the level of the department;</w:t>
            </w:r>
          </w:p>
          <w:p w:rsidR="000833A3" w:rsidRPr="00CE7530" w:rsidRDefault="000833A3" w:rsidP="000833A3">
            <w:pPr>
              <w:numPr>
                <w:ilvl w:val="0"/>
                <w:numId w:val="18"/>
              </w:numPr>
              <w:ind w:left="360"/>
              <w:rPr>
                <w:rFonts w:ascii="Calibri" w:hAnsi="Calibri" w:cs="Calibri"/>
                <w:sz w:val="20"/>
              </w:rPr>
            </w:pPr>
            <w:r w:rsidRPr="00CE7530">
              <w:rPr>
                <w:rFonts w:ascii="Calibri" w:hAnsi="Calibri" w:cs="Calibri"/>
                <w:sz w:val="20"/>
              </w:rPr>
              <w:t>Championing the academic endeavour and ensuring that this remains the focus of the institution and that decisions are made that support (and do not undermine) these endeavours;</w:t>
            </w:r>
          </w:p>
          <w:p w:rsidR="000833A3" w:rsidRPr="00CE7530" w:rsidRDefault="000833A3" w:rsidP="000833A3">
            <w:pPr>
              <w:numPr>
                <w:ilvl w:val="0"/>
                <w:numId w:val="18"/>
              </w:numPr>
              <w:ind w:left="360"/>
              <w:rPr>
                <w:rFonts w:ascii="Calibri" w:hAnsi="Calibri" w:cs="Calibri"/>
                <w:sz w:val="20"/>
              </w:rPr>
            </w:pPr>
            <w:r w:rsidRPr="00CE7530">
              <w:rPr>
                <w:rFonts w:ascii="Calibri" w:hAnsi="Calibri" w:cs="Calibri"/>
                <w:sz w:val="20"/>
              </w:rPr>
              <w:lastRenderedPageBreak/>
              <w:t>Participating in the key debates related to the current and future</w:t>
            </w:r>
            <w:r>
              <w:rPr>
                <w:rFonts w:ascii="Calibri" w:hAnsi="Calibri" w:cs="Calibri"/>
                <w:sz w:val="20"/>
              </w:rPr>
              <w:t xml:space="preserve"> functioning of the institution.</w:t>
            </w:r>
          </w:p>
          <w:p w:rsidR="000833A3" w:rsidRPr="00CF1D0F" w:rsidRDefault="000833A3" w:rsidP="00475E9C">
            <w:pPr>
              <w:spacing w:before="40" w:after="40"/>
              <w:jc w:val="center"/>
              <w:rPr>
                <w:rFonts w:ascii="Calibri" w:hAnsi="Calibri" w:cs="Calibri"/>
                <w:b/>
                <w:bCs/>
                <w:i/>
                <w:iCs/>
                <w:sz w:val="22"/>
                <w:lang w:val="en-US"/>
              </w:rPr>
            </w:pPr>
          </w:p>
        </w:tc>
        <w:tc>
          <w:tcPr>
            <w:tcW w:w="5812" w:type="dxa"/>
            <w:shd w:val="clear" w:color="auto" w:fill="auto"/>
          </w:tcPr>
          <w:p w:rsidR="000833A3" w:rsidRDefault="000833A3" w:rsidP="00475E9C">
            <w:pPr>
              <w:autoSpaceDE w:val="0"/>
              <w:autoSpaceDN w:val="0"/>
              <w:adjustRightInd w:val="0"/>
              <w:rPr>
                <w:rFonts w:ascii="Calibri" w:hAnsi="Calibri" w:cs="Calibri"/>
                <w:sz w:val="20"/>
              </w:rPr>
            </w:pPr>
            <w:r>
              <w:rPr>
                <w:rFonts w:ascii="Calibri" w:hAnsi="Calibri" w:cs="Calibri"/>
                <w:sz w:val="20"/>
              </w:rPr>
              <w:lastRenderedPageBreak/>
              <w:t xml:space="preserve">Effective positioning of the department given the Faculty and institutional strategic imperatives and effective positioning of the department at the national and international level within the discipline. </w:t>
            </w:r>
          </w:p>
          <w:p w:rsidR="000833A3" w:rsidRDefault="000833A3" w:rsidP="00475E9C">
            <w:pPr>
              <w:autoSpaceDE w:val="0"/>
              <w:autoSpaceDN w:val="0"/>
              <w:adjustRightInd w:val="0"/>
              <w:rPr>
                <w:rFonts w:ascii="Calibri" w:hAnsi="Calibri" w:cs="Calibri"/>
                <w:sz w:val="20"/>
              </w:rPr>
            </w:pPr>
            <w:r w:rsidRPr="0061333E">
              <w:rPr>
                <w:rFonts w:ascii="Calibri" w:hAnsi="Calibri" w:cs="Calibri"/>
                <w:sz w:val="20"/>
              </w:rPr>
              <w:t xml:space="preserve">The </w:t>
            </w:r>
            <w:r>
              <w:rPr>
                <w:rFonts w:ascii="Calibri" w:hAnsi="Calibri" w:cs="Calibri"/>
                <w:sz w:val="20"/>
              </w:rPr>
              <w:t>HoD</w:t>
            </w:r>
            <w:r w:rsidRPr="0061333E">
              <w:rPr>
                <w:rFonts w:ascii="Calibri" w:hAnsi="Calibri" w:cs="Calibri"/>
                <w:sz w:val="20"/>
              </w:rPr>
              <w:t xml:space="preserve"> strives to uphold the principle of collegiality throug</w:t>
            </w:r>
            <w:r>
              <w:rPr>
                <w:rFonts w:ascii="Calibri" w:hAnsi="Calibri" w:cs="Calibri"/>
                <w:sz w:val="20"/>
              </w:rPr>
              <w:t>h consultation with members of the department</w:t>
            </w:r>
            <w:r w:rsidRPr="0061333E">
              <w:rPr>
                <w:rFonts w:ascii="Calibri" w:hAnsi="Calibri" w:cs="Calibri"/>
                <w:sz w:val="20"/>
              </w:rPr>
              <w:t xml:space="preserve">.  Much of the work of the </w:t>
            </w:r>
            <w:r>
              <w:rPr>
                <w:rFonts w:ascii="Calibri" w:hAnsi="Calibri" w:cs="Calibri"/>
                <w:sz w:val="20"/>
              </w:rPr>
              <w:t>HoD</w:t>
            </w:r>
            <w:r w:rsidRPr="0061333E">
              <w:rPr>
                <w:rFonts w:ascii="Calibri" w:hAnsi="Calibri" w:cs="Calibri"/>
                <w:sz w:val="20"/>
              </w:rPr>
              <w:t xml:space="preserve"> in terms of leadership is done with </w:t>
            </w:r>
            <w:r>
              <w:rPr>
                <w:rFonts w:ascii="Calibri" w:hAnsi="Calibri" w:cs="Calibri"/>
                <w:sz w:val="20"/>
              </w:rPr>
              <w:t>staff.</w:t>
            </w:r>
          </w:p>
          <w:p w:rsidR="000833A3" w:rsidRDefault="000833A3" w:rsidP="00475E9C">
            <w:pPr>
              <w:autoSpaceDE w:val="0"/>
              <w:autoSpaceDN w:val="0"/>
              <w:adjustRightInd w:val="0"/>
              <w:rPr>
                <w:rFonts w:ascii="Calibri" w:hAnsi="Calibri" w:cs="Calibri"/>
                <w:sz w:val="20"/>
              </w:rPr>
            </w:pPr>
            <w:r>
              <w:rPr>
                <w:rFonts w:ascii="Calibri" w:hAnsi="Calibri" w:cs="Calibri"/>
                <w:sz w:val="20"/>
              </w:rPr>
              <w:t>Proactive engagement, promoting the values of the institution, Faculty and department. Proactively contribute towards the leadership of the Faculty and institution and to do so in a constructive and effective manner. Participation and contributions are informed, effective and timeous.</w:t>
            </w:r>
          </w:p>
          <w:p w:rsidR="000833A3"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The quality of academic leadership is very good and contributions made enhance the academic project particularly at the departmental level.</w:t>
            </w:r>
          </w:p>
          <w:p w:rsidR="000833A3" w:rsidRDefault="000833A3" w:rsidP="00475E9C">
            <w:pPr>
              <w:autoSpaceDE w:val="0"/>
              <w:autoSpaceDN w:val="0"/>
              <w:adjustRightInd w:val="0"/>
              <w:rPr>
                <w:rFonts w:ascii="Calibri" w:hAnsi="Calibri" w:cs="Calibri"/>
                <w:sz w:val="20"/>
              </w:rPr>
            </w:pPr>
            <w:r>
              <w:rPr>
                <w:rFonts w:ascii="Calibri" w:hAnsi="Calibri" w:cs="Calibri"/>
                <w:sz w:val="20"/>
              </w:rPr>
              <w:t>Department strategic plans are appropriate (in terms of focus, resources, institutional imperatives but allowing for “stretch”). Plans are efficiently and effectively implemented. The HoD is able to get support for the plans and is able to navigate conflicts and tensions.</w:t>
            </w:r>
          </w:p>
          <w:p w:rsidR="000833A3" w:rsidRDefault="000833A3" w:rsidP="00475E9C">
            <w:pPr>
              <w:autoSpaceDE w:val="0"/>
              <w:autoSpaceDN w:val="0"/>
              <w:adjustRightInd w:val="0"/>
              <w:rPr>
                <w:rFonts w:ascii="Calibri" w:hAnsi="Calibri" w:cs="Calibri"/>
                <w:sz w:val="20"/>
              </w:rPr>
            </w:pPr>
            <w:r>
              <w:rPr>
                <w:rFonts w:ascii="Calibri" w:hAnsi="Calibri" w:cs="Calibri"/>
                <w:sz w:val="20"/>
              </w:rPr>
              <w:t>The HoD ensures implementation of the relevant frameworks for teaching, research and Community Engagement (CE) within the University. Where there are problems, the HoD champions the resolution of these productively.</w:t>
            </w:r>
          </w:p>
          <w:p w:rsidR="000833A3" w:rsidRDefault="000833A3" w:rsidP="00475E9C">
            <w:pPr>
              <w:autoSpaceDE w:val="0"/>
              <w:autoSpaceDN w:val="0"/>
              <w:adjustRightInd w:val="0"/>
              <w:rPr>
                <w:rFonts w:ascii="Calibri" w:hAnsi="Calibri" w:cs="Calibri"/>
                <w:sz w:val="20"/>
              </w:rPr>
            </w:pPr>
            <w:r>
              <w:rPr>
                <w:rFonts w:ascii="Calibri" w:hAnsi="Calibri" w:cs="Calibri"/>
                <w:sz w:val="20"/>
              </w:rPr>
              <w:t xml:space="preserve">Academic standards, processes and systems at the departmental level are aligned with those at the Faculty and institutional level. Implementation is effective. Where problems exist, the HoD </w:t>
            </w:r>
            <w:r>
              <w:rPr>
                <w:rFonts w:ascii="Calibri" w:hAnsi="Calibri" w:cs="Calibri"/>
                <w:sz w:val="20"/>
              </w:rPr>
              <w:lastRenderedPageBreak/>
              <w:t>appropriately motivates for changes within the Faculty and institution.</w:t>
            </w:r>
          </w:p>
          <w:p w:rsidR="000833A3" w:rsidRDefault="000833A3" w:rsidP="00475E9C">
            <w:pPr>
              <w:autoSpaceDE w:val="0"/>
              <w:autoSpaceDN w:val="0"/>
              <w:adjustRightInd w:val="0"/>
              <w:rPr>
                <w:rFonts w:ascii="Calibri" w:hAnsi="Calibri" w:cs="Calibri"/>
                <w:b/>
                <w:bCs/>
                <w:i/>
                <w:iCs/>
                <w:sz w:val="22"/>
                <w:lang w:val="en-US"/>
              </w:rPr>
            </w:pPr>
          </w:p>
        </w:tc>
      </w:tr>
      <w:tr w:rsidR="000833A3" w:rsidRPr="00CF1D0F" w:rsidTr="000E2992">
        <w:trPr>
          <w:trHeight w:val="9094"/>
        </w:trPr>
        <w:tc>
          <w:tcPr>
            <w:tcW w:w="5104" w:type="dxa"/>
            <w:gridSpan w:val="2"/>
          </w:tcPr>
          <w:p w:rsidR="000833A3" w:rsidRPr="00D204FE" w:rsidRDefault="000833A3" w:rsidP="00475E9C">
            <w:pPr>
              <w:pStyle w:val="Quote"/>
              <w:jc w:val="center"/>
              <w:rPr>
                <w:b/>
              </w:rPr>
            </w:pPr>
            <w:r w:rsidRPr="00D204FE">
              <w:rPr>
                <w:b/>
              </w:rPr>
              <w:lastRenderedPageBreak/>
              <w:t>Leadership and Management of people and processes and associated administration</w:t>
            </w:r>
          </w:p>
          <w:p w:rsidR="000833A3" w:rsidRPr="008F4DDA" w:rsidRDefault="000833A3" w:rsidP="00475E9C">
            <w:pPr>
              <w:rPr>
                <w:sz w:val="20"/>
              </w:rPr>
            </w:pPr>
          </w:p>
          <w:p w:rsidR="000833A3" w:rsidRPr="008F4DDA" w:rsidRDefault="000833A3" w:rsidP="00475E9C">
            <w:pPr>
              <w:autoSpaceDE w:val="0"/>
              <w:autoSpaceDN w:val="0"/>
              <w:adjustRightInd w:val="0"/>
              <w:rPr>
                <w:rFonts w:ascii="Calibri" w:hAnsi="Calibri" w:cs="Calibri"/>
                <w:sz w:val="20"/>
              </w:rPr>
            </w:pPr>
            <w:r w:rsidRPr="008F4DDA">
              <w:rPr>
                <w:rFonts w:ascii="Calibri" w:hAnsi="Calibri" w:cs="Calibri"/>
                <w:sz w:val="20"/>
              </w:rPr>
              <w:t>The HoD is responsible for:</w:t>
            </w:r>
          </w:p>
          <w:p w:rsidR="000833A3" w:rsidRPr="008F4DDA" w:rsidRDefault="000833A3" w:rsidP="000833A3">
            <w:pPr>
              <w:numPr>
                <w:ilvl w:val="0"/>
                <w:numId w:val="20"/>
              </w:numPr>
              <w:autoSpaceDE w:val="0"/>
              <w:autoSpaceDN w:val="0"/>
              <w:adjustRightInd w:val="0"/>
              <w:rPr>
                <w:rFonts w:ascii="Calibri" w:hAnsi="Calibri" w:cs="Calibri"/>
                <w:sz w:val="20"/>
              </w:rPr>
            </w:pPr>
            <w:r w:rsidRPr="008F4DDA">
              <w:rPr>
                <w:rFonts w:ascii="Calibri" w:hAnsi="Calibri" w:cs="Calibri"/>
                <w:sz w:val="20"/>
              </w:rPr>
              <w:t>Ensuring the smooth functioning of the Department in respect of the academic programme</w:t>
            </w:r>
            <w:r>
              <w:rPr>
                <w:rFonts w:ascii="Calibri" w:hAnsi="Calibri" w:cs="Calibri"/>
                <w:sz w:val="20"/>
              </w:rPr>
              <w:t xml:space="preserve"> and engaging in effective academic planning and quality assurance</w:t>
            </w:r>
            <w:r w:rsidRPr="008F4DDA">
              <w:rPr>
                <w:rFonts w:ascii="Calibri" w:hAnsi="Calibri" w:cs="Calibri"/>
                <w:sz w:val="20"/>
              </w:rPr>
              <w:t xml:space="preserve">; </w:t>
            </w:r>
          </w:p>
          <w:p w:rsidR="000833A3" w:rsidRDefault="000833A3" w:rsidP="000833A3">
            <w:pPr>
              <w:numPr>
                <w:ilvl w:val="0"/>
                <w:numId w:val="20"/>
              </w:numPr>
              <w:autoSpaceDE w:val="0"/>
              <w:autoSpaceDN w:val="0"/>
              <w:adjustRightInd w:val="0"/>
              <w:rPr>
                <w:rFonts w:ascii="Calibri" w:hAnsi="Calibri" w:cs="Calibri"/>
                <w:sz w:val="20"/>
              </w:rPr>
            </w:pPr>
            <w:r w:rsidRPr="008F4DDA">
              <w:rPr>
                <w:rFonts w:ascii="Calibri" w:hAnsi="Calibri" w:cs="Calibri"/>
                <w:sz w:val="20"/>
              </w:rPr>
              <w:t xml:space="preserve">Ensuring the smooth functioning of the Department in respect of staff inter-alia: </w:t>
            </w:r>
            <w:r>
              <w:rPr>
                <w:rFonts w:ascii="Calibri" w:hAnsi="Calibri" w:cs="Calibri"/>
                <w:sz w:val="20"/>
              </w:rPr>
              <w:t xml:space="preserve">driving an appropriate departmental culture, </w:t>
            </w:r>
            <w:r w:rsidRPr="008F4DDA">
              <w:rPr>
                <w:rFonts w:ascii="Calibri" w:hAnsi="Calibri" w:cs="Calibri"/>
                <w:sz w:val="20"/>
              </w:rPr>
              <w:t xml:space="preserve">staffing appointments, new staff induction and orientation, probation, personal promotions, </w:t>
            </w:r>
            <w:r>
              <w:rPr>
                <w:rFonts w:ascii="Calibri" w:hAnsi="Calibri" w:cs="Calibri"/>
                <w:sz w:val="20"/>
              </w:rPr>
              <w:t xml:space="preserve">staff development, </w:t>
            </w:r>
            <w:r w:rsidRPr="008F4DDA">
              <w:rPr>
                <w:rFonts w:ascii="Calibri" w:hAnsi="Calibri" w:cs="Calibri"/>
                <w:sz w:val="20"/>
              </w:rPr>
              <w:t>consideration of academic leave applications, dealing with staffing problems;</w:t>
            </w:r>
          </w:p>
          <w:p w:rsidR="000833A3" w:rsidRPr="00B000EE" w:rsidRDefault="000833A3" w:rsidP="000833A3">
            <w:pPr>
              <w:numPr>
                <w:ilvl w:val="0"/>
                <w:numId w:val="20"/>
              </w:numPr>
              <w:autoSpaceDE w:val="0"/>
              <w:autoSpaceDN w:val="0"/>
              <w:adjustRightInd w:val="0"/>
              <w:rPr>
                <w:rFonts w:ascii="Calibri" w:hAnsi="Calibri" w:cs="Calibri"/>
                <w:sz w:val="20"/>
              </w:rPr>
            </w:pPr>
            <w:r w:rsidRPr="00B000EE">
              <w:rPr>
                <w:rFonts w:ascii="Calibri" w:hAnsi="Calibri" w:cs="Calibri"/>
                <w:sz w:val="20"/>
              </w:rPr>
              <w:t xml:space="preserve">Ensuring the smooth functioning of the department in respect of resources (budgets, equipment, furniture, infrastructure) intera-alia: </w:t>
            </w:r>
            <w:r>
              <w:rPr>
                <w:rFonts w:ascii="Calibri" w:hAnsi="Calibri" w:cs="Calibri"/>
                <w:sz w:val="20"/>
              </w:rPr>
              <w:t xml:space="preserve">determining of department needs, understanding resource allocation in the institution, </w:t>
            </w:r>
            <w:r w:rsidRPr="00B000EE">
              <w:rPr>
                <w:rFonts w:ascii="Calibri" w:hAnsi="Calibri" w:cs="Calibri"/>
                <w:sz w:val="20"/>
              </w:rPr>
              <w:t xml:space="preserve">submitting of budgets, appropriate financial management within the department, accessing external funds where feasible </w:t>
            </w:r>
          </w:p>
          <w:p w:rsidR="000833A3" w:rsidRPr="008F4DDA" w:rsidRDefault="000833A3" w:rsidP="000833A3">
            <w:pPr>
              <w:numPr>
                <w:ilvl w:val="0"/>
                <w:numId w:val="20"/>
              </w:numPr>
              <w:autoSpaceDE w:val="0"/>
              <w:autoSpaceDN w:val="0"/>
              <w:adjustRightInd w:val="0"/>
              <w:rPr>
                <w:rFonts w:ascii="Calibri" w:hAnsi="Calibri" w:cs="Calibri"/>
                <w:sz w:val="20"/>
              </w:rPr>
            </w:pPr>
            <w:r w:rsidRPr="008F4DDA">
              <w:rPr>
                <w:rFonts w:ascii="Calibri" w:hAnsi="Calibri" w:cs="Calibri"/>
                <w:sz w:val="20"/>
              </w:rPr>
              <w:t>Ensuring appropriate capacity in the department to run the department including:</w:t>
            </w:r>
          </w:p>
          <w:p w:rsidR="000833A3" w:rsidRPr="008F4DDA" w:rsidRDefault="000833A3" w:rsidP="000833A3">
            <w:pPr>
              <w:numPr>
                <w:ilvl w:val="0"/>
                <w:numId w:val="21"/>
              </w:numPr>
              <w:autoSpaceDE w:val="0"/>
              <w:autoSpaceDN w:val="0"/>
              <w:adjustRightInd w:val="0"/>
              <w:rPr>
                <w:rFonts w:ascii="Calibri" w:hAnsi="Calibri" w:cs="Calibri"/>
                <w:sz w:val="20"/>
              </w:rPr>
            </w:pPr>
            <w:r w:rsidRPr="008F4DDA">
              <w:rPr>
                <w:rFonts w:ascii="Calibri" w:hAnsi="Calibri" w:cs="Calibri"/>
                <w:sz w:val="20"/>
              </w:rPr>
              <w:t>Working collaboratively with staff to establish areas of responsibility within the overall work of the department;</w:t>
            </w:r>
          </w:p>
          <w:p w:rsidR="000833A3" w:rsidRPr="008F4DDA" w:rsidRDefault="000833A3" w:rsidP="000833A3">
            <w:pPr>
              <w:numPr>
                <w:ilvl w:val="0"/>
                <w:numId w:val="21"/>
              </w:numPr>
              <w:autoSpaceDE w:val="0"/>
              <w:autoSpaceDN w:val="0"/>
              <w:adjustRightInd w:val="0"/>
              <w:rPr>
                <w:rFonts w:ascii="Calibri" w:hAnsi="Calibri" w:cs="Calibri"/>
                <w:sz w:val="20"/>
              </w:rPr>
            </w:pPr>
            <w:r w:rsidRPr="008F4DDA">
              <w:rPr>
                <w:rFonts w:ascii="Calibri" w:hAnsi="Calibri" w:cs="Calibri"/>
                <w:sz w:val="20"/>
              </w:rPr>
              <w:t>Involving senior staff in the academic leadership of department and delegation of appropriate portfolios;</w:t>
            </w:r>
          </w:p>
          <w:p w:rsidR="000833A3" w:rsidRPr="008F4DDA" w:rsidRDefault="000833A3" w:rsidP="000833A3">
            <w:pPr>
              <w:numPr>
                <w:ilvl w:val="0"/>
                <w:numId w:val="20"/>
              </w:numPr>
              <w:autoSpaceDE w:val="0"/>
              <w:autoSpaceDN w:val="0"/>
              <w:adjustRightInd w:val="0"/>
              <w:rPr>
                <w:rFonts w:ascii="Calibri" w:hAnsi="Calibri" w:cs="Calibri"/>
                <w:sz w:val="20"/>
              </w:rPr>
            </w:pPr>
            <w:r w:rsidRPr="008F4DDA">
              <w:rPr>
                <w:rFonts w:ascii="Calibri" w:hAnsi="Calibri" w:cs="Calibri"/>
                <w:sz w:val="20"/>
              </w:rPr>
              <w:t>Managing the support staff of the department inter-alia: selection of staff, staff induction and orientation, probation, dealing with performance problems including disciplining of staff, training and development of staff, motivation and recognition of staff including motivating for merit awards where appropriate;</w:t>
            </w:r>
          </w:p>
          <w:p w:rsidR="000833A3" w:rsidRPr="008F4DDA" w:rsidRDefault="000833A3" w:rsidP="000833A3">
            <w:pPr>
              <w:numPr>
                <w:ilvl w:val="0"/>
                <w:numId w:val="20"/>
              </w:numPr>
              <w:autoSpaceDE w:val="0"/>
              <w:autoSpaceDN w:val="0"/>
              <w:adjustRightInd w:val="0"/>
              <w:rPr>
                <w:rFonts w:ascii="Calibri" w:hAnsi="Calibri" w:cs="Calibri"/>
                <w:sz w:val="20"/>
              </w:rPr>
            </w:pPr>
            <w:r w:rsidRPr="008F4DDA">
              <w:rPr>
                <w:rFonts w:ascii="Calibri" w:hAnsi="Calibri" w:cs="Calibri"/>
                <w:sz w:val="20"/>
              </w:rPr>
              <w:t>Ensuring appropriate implementation of systems and processes to ensure knowledge management;</w:t>
            </w:r>
          </w:p>
          <w:p w:rsidR="000833A3" w:rsidRPr="008F4DDA" w:rsidRDefault="000833A3" w:rsidP="000833A3">
            <w:pPr>
              <w:numPr>
                <w:ilvl w:val="0"/>
                <w:numId w:val="20"/>
              </w:numPr>
              <w:autoSpaceDE w:val="0"/>
              <w:autoSpaceDN w:val="0"/>
              <w:adjustRightInd w:val="0"/>
              <w:rPr>
                <w:rFonts w:ascii="Calibri" w:hAnsi="Calibri" w:cs="Calibri"/>
                <w:sz w:val="20"/>
              </w:rPr>
            </w:pPr>
            <w:r w:rsidRPr="008F4DDA">
              <w:rPr>
                <w:rFonts w:ascii="Calibri" w:hAnsi="Calibri" w:cs="Calibri"/>
                <w:sz w:val="20"/>
              </w:rPr>
              <w:t>Participating in a variety of University Committees and in some cases, Chairing of Committees.</w:t>
            </w:r>
          </w:p>
          <w:p w:rsidR="000833A3" w:rsidRPr="0049568E" w:rsidRDefault="000833A3" w:rsidP="00475E9C">
            <w:pPr>
              <w:autoSpaceDE w:val="0"/>
              <w:autoSpaceDN w:val="0"/>
              <w:adjustRightInd w:val="0"/>
              <w:rPr>
                <w:rFonts w:ascii="Calibri" w:hAnsi="Calibri" w:cs="Calibri"/>
                <w:sz w:val="20"/>
              </w:rPr>
            </w:pPr>
          </w:p>
        </w:tc>
        <w:tc>
          <w:tcPr>
            <w:tcW w:w="5812" w:type="dxa"/>
          </w:tcPr>
          <w:p w:rsidR="000833A3" w:rsidRPr="0049568E" w:rsidRDefault="000833A3" w:rsidP="00475E9C">
            <w:pPr>
              <w:autoSpaceDE w:val="0"/>
              <w:autoSpaceDN w:val="0"/>
              <w:adjustRightInd w:val="0"/>
              <w:rPr>
                <w:rFonts w:ascii="Calibri" w:hAnsi="Calibri" w:cs="Calibri"/>
                <w:sz w:val="20"/>
                <w:lang w:eastAsia="ja-JP"/>
              </w:rPr>
            </w:pPr>
          </w:p>
          <w:p w:rsidR="000833A3" w:rsidRDefault="000833A3" w:rsidP="00475E9C">
            <w:pPr>
              <w:autoSpaceDE w:val="0"/>
              <w:autoSpaceDN w:val="0"/>
              <w:adjustRightInd w:val="0"/>
              <w:rPr>
                <w:rFonts w:ascii="Calibri" w:hAnsi="Calibri" w:cs="Calibri"/>
                <w:sz w:val="20"/>
                <w:lang w:eastAsia="ja-JP"/>
              </w:rPr>
            </w:pPr>
          </w:p>
          <w:p w:rsidR="000833A3"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Academic planning is effective taking into account student enrolments, viability of courses, employer needs,  future student educational needs, changes to instructional methods, transformation imperatives related to the academic project etc. The quality of the academic programme is evaluated and improvements made. Problems are identified and solutions sought.</w:t>
            </w:r>
          </w:p>
          <w:p w:rsidR="000833A3" w:rsidRDefault="000833A3" w:rsidP="00475E9C">
            <w:pPr>
              <w:autoSpaceDE w:val="0"/>
              <w:autoSpaceDN w:val="0"/>
              <w:adjustRightInd w:val="0"/>
              <w:ind w:left="360"/>
              <w:rPr>
                <w:rFonts w:ascii="Calibri" w:hAnsi="Calibri" w:cs="Calibri"/>
                <w:sz w:val="20"/>
                <w:lang w:eastAsia="ja-JP"/>
              </w:rPr>
            </w:pPr>
          </w:p>
          <w:p w:rsidR="000833A3"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The HoD is able to engage effectively with others inside and outside the institution, fostering productive relationships e.g. with the key structures such as CHERTL and support staff structures in the institution including the Registrar’s Division,  Research office, Finance, HR, Community Engagement (CE) etc).</w:t>
            </w:r>
          </w:p>
          <w:p w:rsidR="000833A3" w:rsidRDefault="000833A3" w:rsidP="00475E9C">
            <w:pPr>
              <w:autoSpaceDE w:val="0"/>
              <w:autoSpaceDN w:val="0"/>
              <w:adjustRightInd w:val="0"/>
              <w:ind w:left="360"/>
              <w:rPr>
                <w:rFonts w:ascii="Calibri" w:hAnsi="Calibri" w:cs="Calibri"/>
                <w:sz w:val="20"/>
                <w:lang w:eastAsia="ja-JP"/>
              </w:rPr>
            </w:pPr>
          </w:p>
          <w:p w:rsidR="000833A3"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Processes, systems and practices are efficient and effective. Input on processes owned by other areas e.g. Registrar’s Division, HoD of Students Division, HR Division is provided. Where there are problems, the HoD is persistent and consistent in finding a solution together with the relevant area.</w:t>
            </w:r>
          </w:p>
          <w:p w:rsidR="000833A3" w:rsidRDefault="000833A3" w:rsidP="00475E9C">
            <w:pPr>
              <w:autoSpaceDE w:val="0"/>
              <w:autoSpaceDN w:val="0"/>
              <w:adjustRightInd w:val="0"/>
              <w:ind w:left="360"/>
              <w:rPr>
                <w:rFonts w:ascii="Calibri" w:hAnsi="Calibri" w:cs="Calibri"/>
                <w:sz w:val="20"/>
                <w:lang w:eastAsia="ja-JP"/>
              </w:rPr>
            </w:pPr>
          </w:p>
          <w:p w:rsidR="000833A3"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The HoD executes his/her responsibilities effectively and efficiently within the relevant frameworks, policies of the Faculty and institution. The HoD is able to implement change successfully. Appropriate advice is given to staff in line with policy parameters.</w:t>
            </w:r>
          </w:p>
          <w:p w:rsidR="000833A3" w:rsidRDefault="000833A3" w:rsidP="00475E9C">
            <w:pPr>
              <w:autoSpaceDE w:val="0"/>
              <w:autoSpaceDN w:val="0"/>
              <w:adjustRightInd w:val="0"/>
              <w:ind w:left="360"/>
              <w:rPr>
                <w:rFonts w:ascii="Calibri" w:hAnsi="Calibri" w:cs="Calibri"/>
                <w:sz w:val="20"/>
                <w:lang w:eastAsia="ja-JP"/>
              </w:rPr>
            </w:pPr>
          </w:p>
          <w:p w:rsidR="000833A3"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The HoD is able to effectively negotiate the delegation of work to staff in the department and is able to ensure commitment and follow through.</w:t>
            </w:r>
          </w:p>
          <w:p w:rsidR="000833A3" w:rsidRDefault="000833A3" w:rsidP="00475E9C">
            <w:pPr>
              <w:autoSpaceDE w:val="0"/>
              <w:autoSpaceDN w:val="0"/>
              <w:adjustRightInd w:val="0"/>
              <w:ind w:left="360"/>
              <w:rPr>
                <w:rFonts w:ascii="Calibri" w:hAnsi="Calibri" w:cs="Calibri"/>
                <w:sz w:val="20"/>
                <w:lang w:eastAsia="ja-JP"/>
              </w:rPr>
            </w:pPr>
          </w:p>
          <w:p w:rsidR="000833A3"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Management of support staff are in line with relevant HR frameworks and this is done effectively and efficiently. The HoD seeks to establish a productive, supportive relationship.</w:t>
            </w:r>
          </w:p>
          <w:p w:rsidR="000833A3" w:rsidRDefault="000833A3" w:rsidP="00475E9C">
            <w:pPr>
              <w:autoSpaceDE w:val="0"/>
              <w:autoSpaceDN w:val="0"/>
              <w:adjustRightInd w:val="0"/>
              <w:rPr>
                <w:rFonts w:ascii="Calibri" w:hAnsi="Calibri" w:cs="Calibri"/>
                <w:sz w:val="20"/>
                <w:lang w:eastAsia="ja-JP"/>
              </w:rPr>
            </w:pPr>
          </w:p>
          <w:p w:rsidR="000833A3"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Effective and efficient systems are implemented that allow for continuity from one HoD to another, from the HoD to Acting HoD, during periods of absence as well as in the event of the resignation of administrative staff in the Faculty.</w:t>
            </w:r>
          </w:p>
          <w:p w:rsidR="000833A3" w:rsidRDefault="000833A3" w:rsidP="00475E9C">
            <w:pPr>
              <w:autoSpaceDE w:val="0"/>
              <w:autoSpaceDN w:val="0"/>
              <w:adjustRightInd w:val="0"/>
              <w:ind w:left="360"/>
              <w:rPr>
                <w:rFonts w:ascii="Calibri" w:hAnsi="Calibri" w:cs="Calibri"/>
                <w:sz w:val="20"/>
                <w:lang w:eastAsia="ja-JP"/>
              </w:rPr>
            </w:pPr>
          </w:p>
          <w:p w:rsidR="000833A3" w:rsidRPr="0049568E" w:rsidRDefault="000833A3" w:rsidP="00475E9C">
            <w:pPr>
              <w:autoSpaceDE w:val="0"/>
              <w:autoSpaceDN w:val="0"/>
              <w:adjustRightInd w:val="0"/>
              <w:rPr>
                <w:rFonts w:ascii="Calibri" w:hAnsi="Calibri" w:cs="Calibri"/>
                <w:sz w:val="20"/>
                <w:lang w:eastAsia="ja-JP"/>
              </w:rPr>
            </w:pPr>
            <w:r>
              <w:rPr>
                <w:rFonts w:ascii="Calibri" w:hAnsi="Calibri" w:cs="Calibri"/>
                <w:sz w:val="20"/>
                <w:lang w:eastAsia="ja-JP"/>
              </w:rPr>
              <w:t xml:space="preserve"> There is active participation in University Committees; responsibilities are executed appropriately and timeously. </w:t>
            </w:r>
          </w:p>
        </w:tc>
      </w:tr>
      <w:tr w:rsidR="000833A3" w:rsidRPr="00CF1D0F" w:rsidTr="000E2992">
        <w:trPr>
          <w:trHeight w:val="6369"/>
        </w:trPr>
        <w:tc>
          <w:tcPr>
            <w:tcW w:w="5104" w:type="dxa"/>
            <w:gridSpan w:val="2"/>
          </w:tcPr>
          <w:p w:rsidR="000833A3" w:rsidRPr="00DC2D9F" w:rsidRDefault="000833A3" w:rsidP="00475E9C">
            <w:pPr>
              <w:pStyle w:val="Quote"/>
              <w:jc w:val="center"/>
              <w:rPr>
                <w:rFonts w:cs="Arial"/>
                <w:b/>
                <w:szCs w:val="24"/>
              </w:rPr>
            </w:pPr>
            <w:r w:rsidRPr="00DC2D9F">
              <w:rPr>
                <w:rFonts w:cs="Arial"/>
                <w:b/>
                <w:szCs w:val="24"/>
              </w:rPr>
              <w:lastRenderedPageBreak/>
              <w:t xml:space="preserve">Effective internal and external representation of the </w:t>
            </w:r>
            <w:r>
              <w:rPr>
                <w:rFonts w:cs="Arial"/>
                <w:b/>
                <w:szCs w:val="24"/>
              </w:rPr>
              <w:t>Department</w:t>
            </w:r>
            <w:r w:rsidRPr="00DC2D9F">
              <w:rPr>
                <w:rFonts w:cs="Arial"/>
                <w:b/>
                <w:szCs w:val="24"/>
              </w:rPr>
              <w:t xml:space="preserve"> and liaison between </w:t>
            </w:r>
            <w:r>
              <w:rPr>
                <w:rFonts w:cs="Arial"/>
                <w:b/>
                <w:szCs w:val="24"/>
              </w:rPr>
              <w:t xml:space="preserve">the Department </w:t>
            </w:r>
            <w:r w:rsidRPr="00DC2D9F">
              <w:rPr>
                <w:rFonts w:cs="Arial"/>
                <w:b/>
                <w:szCs w:val="24"/>
              </w:rPr>
              <w:t>and other stakeholders</w:t>
            </w:r>
          </w:p>
          <w:p w:rsidR="000833A3" w:rsidRPr="00E52314" w:rsidRDefault="000833A3" w:rsidP="00475E9C">
            <w:pPr>
              <w:rPr>
                <w:rFonts w:ascii="Calibri" w:hAnsi="Calibri" w:cs="Calibri"/>
                <w:sz w:val="22"/>
                <w:szCs w:val="22"/>
              </w:rPr>
            </w:pPr>
          </w:p>
          <w:p w:rsidR="000833A3" w:rsidRPr="008F4DDA" w:rsidRDefault="000833A3" w:rsidP="00475E9C">
            <w:pPr>
              <w:rPr>
                <w:rFonts w:ascii="Calibri" w:hAnsi="Calibri" w:cs="Calibri"/>
                <w:sz w:val="20"/>
              </w:rPr>
            </w:pPr>
            <w:r w:rsidRPr="008F4DDA">
              <w:rPr>
                <w:rFonts w:ascii="Calibri" w:hAnsi="Calibri" w:cs="Calibri"/>
                <w:sz w:val="20"/>
              </w:rPr>
              <w:t>Within the institution, the HoD is responsible for:</w:t>
            </w:r>
          </w:p>
          <w:p w:rsidR="000833A3" w:rsidRPr="008F4DDA" w:rsidRDefault="000833A3" w:rsidP="000833A3">
            <w:pPr>
              <w:numPr>
                <w:ilvl w:val="0"/>
                <w:numId w:val="22"/>
              </w:numPr>
              <w:ind w:left="360"/>
              <w:rPr>
                <w:rFonts w:ascii="Calibri" w:hAnsi="Calibri" w:cs="Calibri"/>
                <w:sz w:val="20"/>
              </w:rPr>
            </w:pPr>
            <w:r w:rsidRPr="008F4DDA">
              <w:rPr>
                <w:rFonts w:ascii="Calibri" w:hAnsi="Calibri" w:cs="Calibri"/>
                <w:sz w:val="20"/>
              </w:rPr>
              <w:t>Representing the department’s interests at the Faculty and institutional level;</w:t>
            </w:r>
          </w:p>
          <w:p w:rsidR="000833A3" w:rsidRPr="008F4DDA" w:rsidRDefault="000833A3" w:rsidP="000833A3">
            <w:pPr>
              <w:numPr>
                <w:ilvl w:val="0"/>
                <w:numId w:val="22"/>
              </w:numPr>
              <w:ind w:left="360"/>
              <w:rPr>
                <w:rFonts w:ascii="Calibri" w:hAnsi="Calibri" w:cs="Calibri"/>
                <w:sz w:val="20"/>
              </w:rPr>
            </w:pPr>
            <w:r w:rsidRPr="008F4DDA">
              <w:rPr>
                <w:rFonts w:ascii="Calibri" w:hAnsi="Calibri" w:cs="Calibri"/>
                <w:sz w:val="20"/>
              </w:rPr>
              <w:t>Acting as a liaison between department and other stakeholders within the University;</w:t>
            </w:r>
          </w:p>
          <w:p w:rsidR="000833A3" w:rsidRPr="008F4DDA" w:rsidRDefault="000833A3" w:rsidP="000833A3">
            <w:pPr>
              <w:numPr>
                <w:ilvl w:val="0"/>
                <w:numId w:val="22"/>
              </w:numPr>
              <w:ind w:left="360"/>
              <w:rPr>
                <w:rFonts w:ascii="Calibri" w:hAnsi="Calibri" w:cs="Calibri"/>
                <w:sz w:val="20"/>
              </w:rPr>
            </w:pPr>
            <w:r w:rsidRPr="008F4DDA">
              <w:rPr>
                <w:rFonts w:ascii="Calibri" w:hAnsi="Calibri" w:cs="Calibri"/>
                <w:sz w:val="20"/>
              </w:rPr>
              <w:t>Communicating to the department about institutional imperatives and allocation of resources particularly where scarce resources have  been allocated elsewhere;</w:t>
            </w:r>
          </w:p>
          <w:p w:rsidR="000833A3" w:rsidRPr="008F4DDA" w:rsidRDefault="000833A3" w:rsidP="000833A3">
            <w:pPr>
              <w:numPr>
                <w:ilvl w:val="0"/>
                <w:numId w:val="22"/>
              </w:numPr>
              <w:ind w:left="360"/>
              <w:rPr>
                <w:rFonts w:ascii="Calibri" w:hAnsi="Calibri" w:cs="Calibri"/>
                <w:sz w:val="20"/>
              </w:rPr>
            </w:pPr>
            <w:r w:rsidRPr="008F4DDA">
              <w:rPr>
                <w:rFonts w:ascii="Calibri" w:hAnsi="Calibri" w:cs="Calibri"/>
                <w:sz w:val="20"/>
              </w:rPr>
              <w:t>Creating awareness in the department of institutional interests and where this may be in conflict with those of the department, navigating these tensions and potential conflicts;</w:t>
            </w:r>
          </w:p>
          <w:p w:rsidR="000833A3" w:rsidRPr="008F4DDA" w:rsidRDefault="000833A3" w:rsidP="00475E9C">
            <w:pPr>
              <w:ind w:left="360"/>
              <w:rPr>
                <w:rFonts w:ascii="Calibri" w:hAnsi="Calibri" w:cs="Calibri"/>
                <w:sz w:val="20"/>
              </w:rPr>
            </w:pPr>
          </w:p>
          <w:p w:rsidR="000833A3" w:rsidRPr="008F4DDA" w:rsidRDefault="000833A3" w:rsidP="00475E9C">
            <w:pPr>
              <w:rPr>
                <w:rFonts w:ascii="Calibri" w:hAnsi="Calibri" w:cs="Calibri"/>
                <w:sz w:val="20"/>
              </w:rPr>
            </w:pPr>
            <w:r w:rsidRPr="008F4DDA">
              <w:rPr>
                <w:rFonts w:ascii="Calibri" w:hAnsi="Calibri" w:cs="Calibri"/>
                <w:sz w:val="20"/>
              </w:rPr>
              <w:t>Outside of the institution, the HoD is responsible for:</w:t>
            </w:r>
          </w:p>
          <w:p w:rsidR="000833A3" w:rsidRPr="008F4DDA" w:rsidRDefault="000833A3" w:rsidP="000833A3">
            <w:pPr>
              <w:numPr>
                <w:ilvl w:val="0"/>
                <w:numId w:val="23"/>
              </w:numPr>
              <w:rPr>
                <w:rFonts w:ascii="Calibri" w:hAnsi="Calibri" w:cs="Calibri"/>
                <w:sz w:val="20"/>
              </w:rPr>
            </w:pPr>
            <w:r w:rsidRPr="008F4DDA">
              <w:rPr>
                <w:rFonts w:ascii="Calibri" w:hAnsi="Calibri" w:cs="Calibri"/>
                <w:sz w:val="20"/>
              </w:rPr>
              <w:t>Representing the department’s interests and at times, also representing the institution’s interests;</w:t>
            </w:r>
          </w:p>
          <w:p w:rsidR="000833A3" w:rsidRPr="00CD3B8D" w:rsidRDefault="000833A3" w:rsidP="000833A3">
            <w:pPr>
              <w:numPr>
                <w:ilvl w:val="0"/>
                <w:numId w:val="23"/>
              </w:numPr>
              <w:rPr>
                <w:rFonts w:ascii="Calibri" w:hAnsi="Calibri" w:cs="Calibri"/>
                <w:sz w:val="22"/>
                <w:szCs w:val="22"/>
              </w:rPr>
            </w:pPr>
            <w:r w:rsidRPr="008F4DDA">
              <w:rPr>
                <w:rFonts w:ascii="Calibri" w:hAnsi="Calibri" w:cs="Calibri"/>
                <w:sz w:val="20"/>
              </w:rPr>
              <w:t>Liaising with similar departments at other Universities as required.</w:t>
            </w:r>
          </w:p>
        </w:tc>
        <w:tc>
          <w:tcPr>
            <w:tcW w:w="5812" w:type="dxa"/>
          </w:tcPr>
          <w:p w:rsidR="000833A3" w:rsidRPr="00E52314" w:rsidRDefault="000833A3" w:rsidP="00475E9C">
            <w:pPr>
              <w:autoSpaceDE w:val="0"/>
              <w:autoSpaceDN w:val="0"/>
              <w:adjustRightInd w:val="0"/>
              <w:rPr>
                <w:rFonts w:ascii="Calibri" w:hAnsi="Calibri" w:cs="Calibri"/>
                <w:sz w:val="22"/>
                <w:szCs w:val="22"/>
                <w:lang w:eastAsia="ja-JP"/>
              </w:rPr>
            </w:pPr>
          </w:p>
          <w:p w:rsidR="000833A3" w:rsidRPr="00E52314" w:rsidRDefault="000833A3" w:rsidP="00475E9C">
            <w:pPr>
              <w:autoSpaceDE w:val="0"/>
              <w:autoSpaceDN w:val="0"/>
              <w:adjustRightInd w:val="0"/>
              <w:rPr>
                <w:rFonts w:ascii="Calibri" w:hAnsi="Calibri" w:cs="Calibri"/>
                <w:sz w:val="22"/>
                <w:szCs w:val="22"/>
                <w:lang w:eastAsia="ja-JP"/>
              </w:rPr>
            </w:pPr>
          </w:p>
          <w:p w:rsidR="000833A3" w:rsidRPr="00E52314" w:rsidRDefault="000833A3" w:rsidP="00475E9C">
            <w:pPr>
              <w:autoSpaceDE w:val="0"/>
              <w:autoSpaceDN w:val="0"/>
              <w:adjustRightInd w:val="0"/>
              <w:rPr>
                <w:rFonts w:ascii="Calibri" w:hAnsi="Calibri" w:cs="Calibri"/>
                <w:sz w:val="22"/>
                <w:szCs w:val="22"/>
                <w:lang w:eastAsia="ja-JP"/>
              </w:rPr>
            </w:pPr>
          </w:p>
          <w:p w:rsidR="000833A3" w:rsidRPr="00E52314" w:rsidRDefault="000833A3" w:rsidP="00475E9C">
            <w:pPr>
              <w:autoSpaceDE w:val="0"/>
              <w:autoSpaceDN w:val="0"/>
              <w:adjustRightInd w:val="0"/>
              <w:rPr>
                <w:rFonts w:ascii="Calibri" w:hAnsi="Calibri" w:cs="Calibri"/>
                <w:sz w:val="22"/>
                <w:szCs w:val="22"/>
                <w:lang w:eastAsia="ja-JP"/>
              </w:rPr>
            </w:pPr>
          </w:p>
          <w:p w:rsidR="000833A3" w:rsidRPr="00E827EF" w:rsidRDefault="000833A3" w:rsidP="00475E9C">
            <w:pPr>
              <w:autoSpaceDE w:val="0"/>
              <w:autoSpaceDN w:val="0"/>
              <w:adjustRightInd w:val="0"/>
              <w:rPr>
                <w:rFonts w:ascii="Calibri" w:hAnsi="Calibri" w:cs="Calibri"/>
                <w:sz w:val="20"/>
                <w:lang w:eastAsia="ja-JP"/>
              </w:rPr>
            </w:pPr>
            <w:r w:rsidRPr="00E827EF">
              <w:rPr>
                <w:rFonts w:ascii="Calibri" w:hAnsi="Calibri" w:cs="Calibri"/>
                <w:sz w:val="20"/>
                <w:lang w:eastAsia="ja-JP"/>
              </w:rPr>
              <w:t xml:space="preserve">The </w:t>
            </w:r>
            <w:r>
              <w:rPr>
                <w:rFonts w:ascii="Calibri" w:hAnsi="Calibri" w:cs="Calibri"/>
                <w:sz w:val="20"/>
                <w:lang w:eastAsia="ja-JP"/>
              </w:rPr>
              <w:t>HoD</w:t>
            </w:r>
            <w:r w:rsidRPr="00E827EF">
              <w:rPr>
                <w:rFonts w:ascii="Calibri" w:hAnsi="Calibri" w:cs="Calibri"/>
                <w:sz w:val="20"/>
                <w:lang w:eastAsia="ja-JP"/>
              </w:rPr>
              <w:t xml:space="preserve"> is able to engage effectively with others inside and outside of the institution, fostering productive relationships and promoting a positive but realistic image of the institution. </w:t>
            </w:r>
          </w:p>
          <w:p w:rsidR="000833A3" w:rsidRPr="00E52314" w:rsidRDefault="000833A3" w:rsidP="00475E9C">
            <w:pPr>
              <w:autoSpaceDE w:val="0"/>
              <w:autoSpaceDN w:val="0"/>
              <w:adjustRightInd w:val="0"/>
              <w:rPr>
                <w:rFonts w:ascii="Calibri" w:hAnsi="Calibri" w:cs="Calibri"/>
                <w:sz w:val="20"/>
                <w:lang w:eastAsia="ja-JP"/>
              </w:rPr>
            </w:pPr>
          </w:p>
          <w:p w:rsidR="000833A3" w:rsidRPr="00E52314" w:rsidRDefault="000833A3" w:rsidP="00475E9C">
            <w:pPr>
              <w:autoSpaceDE w:val="0"/>
              <w:autoSpaceDN w:val="0"/>
              <w:adjustRightInd w:val="0"/>
              <w:rPr>
                <w:rFonts w:ascii="Calibri" w:hAnsi="Calibri" w:cs="Calibri"/>
                <w:sz w:val="20"/>
                <w:lang w:eastAsia="ja-JP"/>
              </w:rPr>
            </w:pPr>
            <w:r w:rsidRPr="00E52314">
              <w:rPr>
                <w:rFonts w:ascii="Calibri" w:hAnsi="Calibri" w:cs="Calibri"/>
                <w:sz w:val="20"/>
                <w:lang w:eastAsia="ja-JP"/>
              </w:rPr>
              <w:t xml:space="preserve">Communication with stakeholders, internal and external, is timeous, uses appropriate media and is accurate. </w:t>
            </w:r>
          </w:p>
          <w:p w:rsidR="000833A3" w:rsidRPr="00E52314" w:rsidRDefault="000833A3" w:rsidP="00475E9C">
            <w:pPr>
              <w:autoSpaceDE w:val="0"/>
              <w:autoSpaceDN w:val="0"/>
              <w:adjustRightInd w:val="0"/>
              <w:rPr>
                <w:rFonts w:ascii="Calibri" w:hAnsi="Calibri" w:cs="Calibri"/>
                <w:sz w:val="20"/>
                <w:lang w:eastAsia="ja-JP"/>
              </w:rPr>
            </w:pPr>
          </w:p>
        </w:tc>
      </w:tr>
    </w:tbl>
    <w:p w:rsidR="000833A3" w:rsidRPr="00CF1D0F" w:rsidRDefault="000833A3" w:rsidP="000833A3">
      <w:pPr>
        <w:rPr>
          <w:rFonts w:ascii="Calibri" w:hAnsi="Calibri" w:cs="Calibri"/>
          <w:sz w:val="4"/>
        </w:rPr>
      </w:pPr>
    </w:p>
    <w:p w:rsidR="000833A3" w:rsidRDefault="000833A3" w:rsidP="000833A3">
      <w:pPr>
        <w:rPr>
          <w:rFonts w:ascii="Calibri" w:hAnsi="Calibri" w:cs="Calibri"/>
          <w:sz w:val="4"/>
        </w:rPr>
      </w:pPr>
    </w:p>
    <w:p w:rsidR="000833A3" w:rsidRDefault="000833A3" w:rsidP="000833A3">
      <w:pPr>
        <w:rPr>
          <w:rFonts w:ascii="Calibri" w:hAnsi="Calibri" w:cs="Calibri"/>
          <w:sz w:val="4"/>
        </w:rPr>
      </w:pPr>
    </w:p>
    <w:p w:rsidR="000833A3" w:rsidRDefault="000833A3" w:rsidP="000833A3">
      <w:pPr>
        <w:rPr>
          <w:rFonts w:ascii="Calibri" w:hAnsi="Calibri" w:cs="Calibri"/>
          <w:sz w:val="4"/>
        </w:rPr>
      </w:pPr>
    </w:p>
    <w:p w:rsidR="000833A3" w:rsidRPr="00CF1D0F" w:rsidRDefault="000833A3" w:rsidP="000833A3">
      <w:pPr>
        <w:rPr>
          <w:rFonts w:ascii="Calibri" w:hAnsi="Calibri" w:cs="Calibri"/>
          <w:sz w:val="4"/>
        </w:rPr>
      </w:pPr>
    </w:p>
    <w:tbl>
      <w:tblPr>
        <w:tblW w:w="10916"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0833A3" w:rsidRPr="00CF1D0F" w:rsidTr="000E2992">
        <w:tc>
          <w:tcPr>
            <w:tcW w:w="10916" w:type="dxa"/>
            <w:shd w:val="clear" w:color="auto" w:fill="E6E6E6"/>
          </w:tcPr>
          <w:p w:rsidR="000833A3" w:rsidRPr="00F817AD" w:rsidRDefault="000833A3" w:rsidP="00475E9C">
            <w:pPr>
              <w:spacing w:before="40" w:after="40"/>
              <w:jc w:val="center"/>
              <w:rPr>
                <w:rFonts w:ascii="Calibri" w:hAnsi="Calibri" w:cs="Calibri"/>
                <w:b/>
                <w:bCs/>
                <w:i/>
                <w:iCs/>
                <w:sz w:val="28"/>
                <w:szCs w:val="28"/>
              </w:rPr>
            </w:pPr>
            <w:r>
              <w:rPr>
                <w:rFonts w:ascii="Calibri" w:hAnsi="Calibri" w:cs="Calibri"/>
                <w:b/>
                <w:bCs/>
                <w:i/>
                <w:iCs/>
                <w:sz w:val="28"/>
                <w:szCs w:val="28"/>
              </w:rPr>
              <w:t>QUALITIES OF A SUCCESSFUL HOD</w:t>
            </w:r>
          </w:p>
        </w:tc>
      </w:tr>
      <w:tr w:rsidR="000833A3" w:rsidRPr="00CF1D0F" w:rsidTr="000E2992">
        <w:tc>
          <w:tcPr>
            <w:tcW w:w="10916" w:type="dxa"/>
          </w:tcPr>
          <w:p w:rsidR="000833A3" w:rsidRPr="000E2992" w:rsidRDefault="000833A3" w:rsidP="00475E9C">
            <w:pPr>
              <w:spacing w:before="20" w:after="20"/>
              <w:rPr>
                <w:rFonts w:ascii="Calibri" w:hAnsi="Calibri" w:cs="Calibri"/>
                <w:b/>
                <w:sz w:val="20"/>
                <w:szCs w:val="20"/>
              </w:rPr>
            </w:pPr>
            <w:r w:rsidRPr="000E2992">
              <w:rPr>
                <w:rFonts w:ascii="Calibri" w:hAnsi="Calibri" w:cs="Calibri"/>
                <w:b/>
                <w:sz w:val="20"/>
                <w:szCs w:val="20"/>
              </w:rPr>
              <w:t>Academic competencies:</w:t>
            </w:r>
          </w:p>
          <w:p w:rsidR="000833A3" w:rsidRPr="000E2992" w:rsidRDefault="000833A3" w:rsidP="000833A3">
            <w:pPr>
              <w:numPr>
                <w:ilvl w:val="0"/>
                <w:numId w:val="25"/>
              </w:numPr>
              <w:spacing w:before="20" w:after="20"/>
              <w:rPr>
                <w:rFonts w:ascii="Calibri" w:hAnsi="Calibri" w:cs="Calibri"/>
                <w:sz w:val="20"/>
                <w:szCs w:val="20"/>
              </w:rPr>
            </w:pPr>
            <w:r w:rsidRPr="000E2992">
              <w:rPr>
                <w:rFonts w:ascii="Calibri" w:hAnsi="Calibri" w:cs="Calibri"/>
                <w:sz w:val="20"/>
                <w:szCs w:val="20"/>
              </w:rPr>
              <w:t>Ability to foster a research culture in the department</w:t>
            </w:r>
            <w:r w:rsidR="002216B7" w:rsidRPr="000E2992">
              <w:rPr>
                <w:rFonts w:ascii="Calibri" w:hAnsi="Calibri" w:cs="Calibri"/>
                <w:sz w:val="20"/>
                <w:szCs w:val="20"/>
              </w:rPr>
              <w:t>, appropriate to the context of the department</w:t>
            </w:r>
          </w:p>
          <w:p w:rsidR="000833A3" w:rsidRPr="000E2992" w:rsidRDefault="000833A3" w:rsidP="000833A3">
            <w:pPr>
              <w:numPr>
                <w:ilvl w:val="0"/>
                <w:numId w:val="25"/>
              </w:numPr>
              <w:spacing w:before="20" w:after="20"/>
              <w:rPr>
                <w:rFonts w:ascii="Calibri" w:hAnsi="Calibri" w:cs="Calibri"/>
                <w:sz w:val="20"/>
                <w:szCs w:val="20"/>
              </w:rPr>
            </w:pPr>
            <w:r w:rsidRPr="000E2992">
              <w:rPr>
                <w:rFonts w:ascii="Calibri" w:hAnsi="Calibri" w:cs="Calibri"/>
                <w:sz w:val="20"/>
                <w:szCs w:val="20"/>
              </w:rPr>
              <w:t>Ability to foster a culture that values teaching &amp; learning and that prizes excellence in the department</w:t>
            </w:r>
          </w:p>
          <w:p w:rsidR="000833A3" w:rsidRPr="000E2992" w:rsidRDefault="000833A3" w:rsidP="000833A3">
            <w:pPr>
              <w:numPr>
                <w:ilvl w:val="0"/>
                <w:numId w:val="25"/>
              </w:numPr>
              <w:spacing w:before="20" w:after="20"/>
              <w:rPr>
                <w:rFonts w:ascii="Calibri" w:hAnsi="Calibri" w:cs="Calibri"/>
                <w:sz w:val="20"/>
                <w:szCs w:val="20"/>
              </w:rPr>
            </w:pPr>
            <w:r w:rsidRPr="000E2992">
              <w:rPr>
                <w:rFonts w:ascii="Calibri" w:hAnsi="Calibri" w:cs="Calibri"/>
                <w:sz w:val="20"/>
                <w:szCs w:val="20"/>
              </w:rPr>
              <w:t>Understanding of what community engagement means within the department and with an ability to encourage participation by academics in CE</w:t>
            </w:r>
          </w:p>
          <w:p w:rsidR="000833A3" w:rsidRPr="000E2992" w:rsidRDefault="000833A3" w:rsidP="00475E9C">
            <w:pPr>
              <w:spacing w:before="20" w:after="20"/>
              <w:rPr>
                <w:rFonts w:ascii="Calibri" w:hAnsi="Calibri" w:cs="Calibri"/>
                <w:b/>
                <w:bCs/>
                <w:sz w:val="20"/>
                <w:szCs w:val="20"/>
                <w:lang w:val="en-US"/>
              </w:rPr>
            </w:pPr>
          </w:p>
          <w:p w:rsidR="000833A3" w:rsidRPr="000E2992" w:rsidRDefault="000833A3" w:rsidP="00475E9C">
            <w:pPr>
              <w:spacing w:before="20" w:after="20"/>
              <w:rPr>
                <w:rFonts w:ascii="Calibri" w:hAnsi="Calibri" w:cs="Calibri"/>
                <w:b/>
                <w:bCs/>
                <w:sz w:val="20"/>
                <w:szCs w:val="20"/>
                <w:lang w:val="en-US"/>
              </w:rPr>
            </w:pPr>
            <w:r w:rsidRPr="000E2992">
              <w:rPr>
                <w:rFonts w:ascii="Calibri" w:hAnsi="Calibri" w:cs="Calibri"/>
                <w:b/>
                <w:bCs/>
                <w:sz w:val="20"/>
                <w:szCs w:val="20"/>
                <w:lang w:val="en-US"/>
              </w:rPr>
              <w:t>Leadership competencies:</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Understanding of the social, political and economic challenges facing HE institutions today, at the global and national levels and the implications of this for an institution such as Rhodes University</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Strong understanding of the Rhodes university context, how the institution operates, where to access information</w:t>
            </w:r>
          </w:p>
          <w:p w:rsidR="000833A3" w:rsidRPr="000E2992" w:rsidRDefault="000833A3" w:rsidP="000833A3">
            <w:pPr>
              <w:numPr>
                <w:ilvl w:val="0"/>
                <w:numId w:val="24"/>
              </w:numPr>
              <w:spacing w:before="20" w:after="20"/>
              <w:rPr>
                <w:rFonts w:ascii="Calibri" w:hAnsi="Calibri" w:cs="Calibri"/>
                <w:b/>
                <w:bCs/>
                <w:sz w:val="20"/>
                <w:szCs w:val="20"/>
                <w:lang w:val="en-US"/>
              </w:rPr>
            </w:pPr>
            <w:r w:rsidRPr="000E2992">
              <w:rPr>
                <w:rFonts w:ascii="Calibri" w:hAnsi="Calibri" w:cs="Calibri"/>
                <w:bCs/>
                <w:sz w:val="20"/>
                <w:szCs w:val="20"/>
                <w:lang w:val="en-US"/>
              </w:rPr>
              <w:t>Unquestionable personal integrity with a keen sense of fairness, able to balance the competing demands within a HE institution with staff, student, stakeholder expectations and institutional resources</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Personal credibility and an ability to engender respect and instill confidence in people at different levels within the institution as well as those outside of the institution</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Ability to inspire and encourage colleagues, and a commitment to collegiality</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Ability to develop productive relationships with staff in support Divisions holding these Divisions accountable to the agreed service levels</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 xml:space="preserve">Ability to think creatively and innovatively particularly as regards the academic project </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 xml:space="preserve">People skills with a consultative and inclusive style, able to build consensus and commitment to new initiatives, commitment to transparent </w:t>
            </w:r>
            <w:r w:rsidR="002216B7" w:rsidRPr="000E2992">
              <w:rPr>
                <w:rFonts w:ascii="Calibri" w:hAnsi="Calibri" w:cs="Calibri"/>
                <w:bCs/>
                <w:sz w:val="20"/>
                <w:szCs w:val="20"/>
                <w:lang w:val="en-US"/>
              </w:rPr>
              <w:t>leadership</w:t>
            </w:r>
          </w:p>
          <w:p w:rsidR="002216B7" w:rsidRPr="000E2992" w:rsidRDefault="000833A3" w:rsidP="000833A3">
            <w:pPr>
              <w:numPr>
                <w:ilvl w:val="0"/>
                <w:numId w:val="25"/>
              </w:numPr>
              <w:spacing w:before="20" w:after="20"/>
              <w:rPr>
                <w:rFonts w:ascii="Calibri" w:hAnsi="Calibri" w:cs="Calibri"/>
                <w:sz w:val="20"/>
                <w:szCs w:val="20"/>
              </w:rPr>
            </w:pPr>
            <w:r w:rsidRPr="000E2992">
              <w:rPr>
                <w:rFonts w:ascii="Calibri" w:hAnsi="Calibri" w:cs="Calibri"/>
                <w:bCs/>
                <w:sz w:val="20"/>
                <w:szCs w:val="20"/>
                <w:lang w:val="en-US"/>
              </w:rPr>
              <w:t xml:space="preserve">Ability to develop, articulate and implement strategic goals </w:t>
            </w:r>
          </w:p>
          <w:p w:rsidR="000833A3" w:rsidRPr="000E2992" w:rsidRDefault="000833A3" w:rsidP="000833A3">
            <w:pPr>
              <w:numPr>
                <w:ilvl w:val="0"/>
                <w:numId w:val="25"/>
              </w:numPr>
              <w:spacing w:before="20" w:after="20"/>
              <w:rPr>
                <w:rFonts w:ascii="Calibri" w:hAnsi="Calibri" w:cs="Calibri"/>
                <w:sz w:val="20"/>
                <w:szCs w:val="20"/>
              </w:rPr>
            </w:pPr>
            <w:r w:rsidRPr="000E2992">
              <w:rPr>
                <w:rFonts w:ascii="Calibri" w:hAnsi="Calibri" w:cs="Calibri"/>
                <w:sz w:val="20"/>
                <w:szCs w:val="20"/>
              </w:rPr>
              <w:t>Strong planning, organisational and administrative skills with the skills and resilience to cope with multiple demands and periods of high volume in terms of work and stress</w:t>
            </w:r>
          </w:p>
          <w:p w:rsidR="000833A3" w:rsidRPr="000E2992" w:rsidRDefault="000833A3" w:rsidP="000833A3">
            <w:pPr>
              <w:numPr>
                <w:ilvl w:val="0"/>
                <w:numId w:val="25"/>
              </w:numPr>
              <w:spacing w:before="20" w:after="20"/>
              <w:rPr>
                <w:rFonts w:ascii="Calibri" w:hAnsi="Calibri" w:cs="Calibri"/>
                <w:sz w:val="20"/>
                <w:szCs w:val="20"/>
              </w:rPr>
            </w:pPr>
            <w:r w:rsidRPr="000E2992">
              <w:rPr>
                <w:rFonts w:ascii="Calibri" w:hAnsi="Calibri" w:cs="Calibri"/>
                <w:sz w:val="20"/>
                <w:szCs w:val="20"/>
              </w:rPr>
              <w:t>Sound numerical ability, able to work with budgets and analyses of student and staff statistics</w:t>
            </w:r>
          </w:p>
          <w:p w:rsidR="000833A3" w:rsidRDefault="000833A3" w:rsidP="00475E9C">
            <w:pPr>
              <w:spacing w:before="20" w:after="20"/>
              <w:rPr>
                <w:rFonts w:ascii="Calibri" w:hAnsi="Calibri" w:cs="Calibri"/>
                <w:b/>
                <w:bCs/>
                <w:sz w:val="20"/>
                <w:szCs w:val="20"/>
                <w:lang w:val="en-US"/>
              </w:rPr>
            </w:pPr>
          </w:p>
          <w:p w:rsidR="00A97B8C" w:rsidRDefault="00A97B8C" w:rsidP="00475E9C">
            <w:pPr>
              <w:spacing w:before="20" w:after="20"/>
              <w:rPr>
                <w:rFonts w:ascii="Calibri" w:hAnsi="Calibri" w:cs="Calibri"/>
                <w:b/>
                <w:bCs/>
                <w:sz w:val="20"/>
                <w:szCs w:val="20"/>
                <w:lang w:val="en-US"/>
              </w:rPr>
            </w:pPr>
          </w:p>
          <w:p w:rsidR="00A97B8C" w:rsidRDefault="00A97B8C" w:rsidP="00475E9C">
            <w:pPr>
              <w:spacing w:before="20" w:after="20"/>
              <w:rPr>
                <w:rFonts w:ascii="Calibri" w:hAnsi="Calibri" w:cs="Calibri"/>
                <w:b/>
                <w:bCs/>
                <w:sz w:val="20"/>
                <w:szCs w:val="20"/>
                <w:lang w:val="en-US"/>
              </w:rPr>
            </w:pPr>
          </w:p>
          <w:p w:rsidR="00A97B8C" w:rsidRDefault="00A97B8C" w:rsidP="00475E9C">
            <w:pPr>
              <w:spacing w:before="20" w:after="20"/>
              <w:rPr>
                <w:rFonts w:ascii="Calibri" w:hAnsi="Calibri" w:cs="Calibri"/>
                <w:b/>
                <w:bCs/>
                <w:sz w:val="20"/>
                <w:szCs w:val="20"/>
                <w:lang w:val="en-US"/>
              </w:rPr>
            </w:pPr>
          </w:p>
          <w:p w:rsidR="00A97B8C" w:rsidRPr="000E2992" w:rsidRDefault="00A97B8C" w:rsidP="00475E9C">
            <w:pPr>
              <w:spacing w:before="20" w:after="20"/>
              <w:rPr>
                <w:rFonts w:ascii="Calibri" w:hAnsi="Calibri" w:cs="Calibri"/>
                <w:b/>
                <w:bCs/>
                <w:sz w:val="20"/>
                <w:szCs w:val="20"/>
                <w:lang w:val="en-US"/>
              </w:rPr>
            </w:pPr>
          </w:p>
          <w:p w:rsidR="000833A3" w:rsidRPr="000E2992" w:rsidRDefault="000833A3" w:rsidP="00475E9C">
            <w:pPr>
              <w:spacing w:before="20" w:after="20"/>
              <w:rPr>
                <w:rFonts w:ascii="Calibri" w:hAnsi="Calibri" w:cs="Calibri"/>
                <w:bCs/>
                <w:sz w:val="20"/>
                <w:szCs w:val="20"/>
                <w:lang w:val="en-US"/>
              </w:rPr>
            </w:pPr>
            <w:r w:rsidRPr="000E2992">
              <w:rPr>
                <w:rFonts w:ascii="Calibri" w:hAnsi="Calibri" w:cs="Calibri"/>
                <w:b/>
                <w:bCs/>
                <w:sz w:val="20"/>
                <w:szCs w:val="20"/>
                <w:lang w:val="en-US"/>
              </w:rPr>
              <w:lastRenderedPageBreak/>
              <w:t>Personal attributes</w:t>
            </w:r>
            <w:r w:rsidRPr="000E2992">
              <w:rPr>
                <w:rFonts w:ascii="Calibri" w:hAnsi="Calibri" w:cs="Calibri"/>
                <w:bCs/>
                <w:sz w:val="20"/>
                <w:szCs w:val="20"/>
                <w:lang w:val="en-US"/>
              </w:rPr>
              <w:t>:</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Passion to see staff, students, the department, the Faculty and the institution developing and succeeding</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 xml:space="preserve">High level of personal responsibility and a strong sense of accountability </w:t>
            </w:r>
          </w:p>
          <w:p w:rsidR="000833A3" w:rsidRPr="000E2992" w:rsidRDefault="000833A3" w:rsidP="000833A3">
            <w:pPr>
              <w:numPr>
                <w:ilvl w:val="0"/>
                <w:numId w:val="24"/>
              </w:numPr>
              <w:spacing w:before="20" w:after="20"/>
              <w:rPr>
                <w:rFonts w:ascii="Calibri" w:hAnsi="Calibri" w:cs="Calibri"/>
                <w:bCs/>
                <w:sz w:val="20"/>
                <w:szCs w:val="20"/>
                <w:lang w:val="en-US"/>
              </w:rPr>
            </w:pPr>
            <w:r w:rsidRPr="000E2992">
              <w:rPr>
                <w:rFonts w:ascii="Calibri" w:hAnsi="Calibri" w:cs="Calibri"/>
                <w:bCs/>
                <w:sz w:val="20"/>
                <w:szCs w:val="20"/>
                <w:lang w:val="en-US"/>
              </w:rPr>
              <w:t xml:space="preserve">High level of professionalism </w:t>
            </w:r>
            <w:r w:rsidRPr="000E2992">
              <w:rPr>
                <w:rFonts w:ascii="Calibri" w:hAnsi="Calibri" w:cs="Calibri"/>
                <w:sz w:val="20"/>
                <w:szCs w:val="20"/>
              </w:rPr>
              <w:t>and conduct that will enhance the reputation of the University</w:t>
            </w:r>
          </w:p>
          <w:p w:rsidR="000833A3" w:rsidRPr="000E2992" w:rsidRDefault="000833A3" w:rsidP="000833A3">
            <w:pPr>
              <w:numPr>
                <w:ilvl w:val="0"/>
                <w:numId w:val="24"/>
              </w:numPr>
              <w:spacing w:before="20" w:after="20"/>
              <w:rPr>
                <w:rFonts w:ascii="Calibri" w:hAnsi="Calibri" w:cs="Calibri"/>
                <w:sz w:val="20"/>
                <w:szCs w:val="20"/>
                <w:lang w:val="en-US"/>
              </w:rPr>
            </w:pPr>
            <w:r w:rsidRPr="000E2992">
              <w:rPr>
                <w:rFonts w:ascii="Calibri" w:hAnsi="Calibri" w:cs="Calibri"/>
                <w:bCs/>
                <w:sz w:val="20"/>
                <w:szCs w:val="20"/>
                <w:lang w:val="en-US"/>
              </w:rPr>
              <w:t>Personal flexibility: willing to consider alternative perspectives and ideas but with an ability to make difficult decisions independently</w:t>
            </w:r>
          </w:p>
          <w:p w:rsidR="000833A3" w:rsidRPr="000E2992" w:rsidRDefault="000833A3" w:rsidP="000833A3">
            <w:pPr>
              <w:numPr>
                <w:ilvl w:val="0"/>
                <w:numId w:val="24"/>
              </w:numPr>
              <w:spacing w:before="20" w:after="20"/>
              <w:rPr>
                <w:rFonts w:ascii="Calibri" w:hAnsi="Calibri" w:cs="Calibri"/>
                <w:sz w:val="20"/>
                <w:szCs w:val="20"/>
              </w:rPr>
            </w:pPr>
            <w:r w:rsidRPr="000E2992">
              <w:rPr>
                <w:rFonts w:ascii="Calibri" w:hAnsi="Calibri" w:cs="Calibri"/>
                <w:sz w:val="20"/>
                <w:szCs w:val="20"/>
              </w:rPr>
              <w:t>Excellent communication and interpersonal skills with an ability to relate to staff at different occupational levels as well as from different cultures and backgrounds</w:t>
            </w:r>
          </w:p>
          <w:p w:rsidR="000833A3" w:rsidRPr="000E2992" w:rsidRDefault="000833A3" w:rsidP="000833A3">
            <w:pPr>
              <w:numPr>
                <w:ilvl w:val="0"/>
                <w:numId w:val="24"/>
              </w:numPr>
              <w:spacing w:before="20" w:after="20"/>
              <w:rPr>
                <w:rFonts w:ascii="Calibri" w:hAnsi="Calibri" w:cs="Calibri"/>
                <w:sz w:val="20"/>
                <w:szCs w:val="20"/>
              </w:rPr>
            </w:pPr>
            <w:r w:rsidRPr="000E2992">
              <w:rPr>
                <w:rFonts w:ascii="Calibri" w:hAnsi="Calibri" w:cs="Calibri"/>
                <w:sz w:val="20"/>
                <w:szCs w:val="20"/>
                <w:lang w:val="en-US"/>
              </w:rPr>
              <w:t>Champions transformation and diversity: culturally aware and sensitive, fosters an attitude of appreciating diversity, has the ability to drive the transformation agenda (staff, students and curriculum)</w:t>
            </w:r>
          </w:p>
          <w:p w:rsidR="000833A3" w:rsidRPr="00256DBF" w:rsidRDefault="000833A3" w:rsidP="000833A3">
            <w:pPr>
              <w:numPr>
                <w:ilvl w:val="0"/>
                <w:numId w:val="24"/>
              </w:numPr>
              <w:spacing w:before="20" w:after="20"/>
              <w:rPr>
                <w:rFonts w:ascii="Calibri" w:hAnsi="Calibri" w:cs="Calibri"/>
                <w:sz w:val="20"/>
              </w:rPr>
            </w:pPr>
            <w:r w:rsidRPr="000E2992">
              <w:rPr>
                <w:rFonts w:ascii="Calibri" w:hAnsi="Calibri" w:cs="Calibri"/>
                <w:sz w:val="20"/>
                <w:szCs w:val="20"/>
              </w:rPr>
              <w:t>Reflexive practitioner in leadership role, seeks feedback, able to withstand criticism and use constructive criticism to improve</w:t>
            </w:r>
          </w:p>
        </w:tc>
      </w:tr>
    </w:tbl>
    <w:p w:rsidR="000833A3" w:rsidRDefault="000833A3" w:rsidP="000833A3">
      <w:pPr>
        <w:rPr>
          <w:rFonts w:ascii="Calibri" w:hAnsi="Calibri" w:cs="Calibri"/>
          <w:sz w:val="22"/>
        </w:rPr>
      </w:pPr>
    </w:p>
    <w:p w:rsidR="000833A3" w:rsidRPr="006334ED" w:rsidRDefault="000833A3" w:rsidP="000833A3">
      <w:pPr>
        <w:jc w:val="right"/>
        <w:rPr>
          <w:rFonts w:ascii="Calibri" w:hAnsi="Calibri" w:cs="Calibri"/>
          <w:b/>
          <w:sz w:val="22"/>
        </w:rPr>
      </w:pPr>
      <w:r>
        <w:rPr>
          <w:rFonts w:ascii="Calibri" w:hAnsi="Calibri" w:cs="Calibri"/>
          <w:b/>
          <w:sz w:val="22"/>
        </w:rPr>
        <w:t xml:space="preserve">Last updated: </w:t>
      </w:r>
      <w:r w:rsidR="002216B7">
        <w:rPr>
          <w:rFonts w:ascii="Calibri" w:hAnsi="Calibri" w:cs="Calibri"/>
          <w:b/>
          <w:sz w:val="22"/>
        </w:rPr>
        <w:t>March</w:t>
      </w:r>
      <w:r w:rsidRPr="006334ED">
        <w:rPr>
          <w:rFonts w:ascii="Calibri" w:hAnsi="Calibri" w:cs="Calibri"/>
          <w:b/>
          <w:sz w:val="22"/>
        </w:rPr>
        <w:t xml:space="preserve"> 2013</w:t>
      </w:r>
    </w:p>
    <w:sectPr w:rsidR="000833A3" w:rsidRPr="006334ED" w:rsidSect="00DF44D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9F" w:rsidRDefault="001C1D9F" w:rsidP="008E7685">
      <w:r>
        <w:separator/>
      </w:r>
    </w:p>
  </w:endnote>
  <w:endnote w:type="continuationSeparator" w:id="0">
    <w:p w:rsidR="001C1D9F" w:rsidRDefault="001C1D9F" w:rsidP="008E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90245"/>
      <w:docPartObj>
        <w:docPartGallery w:val="Page Numbers (Bottom of Page)"/>
        <w:docPartUnique/>
      </w:docPartObj>
    </w:sdtPr>
    <w:sdtEndPr>
      <w:rPr>
        <w:noProof/>
      </w:rPr>
    </w:sdtEndPr>
    <w:sdtContent>
      <w:p w:rsidR="00704039" w:rsidRDefault="00704039">
        <w:pPr>
          <w:pStyle w:val="Footer"/>
          <w:jc w:val="right"/>
        </w:pPr>
        <w:r>
          <w:fldChar w:fldCharType="begin"/>
        </w:r>
        <w:r>
          <w:instrText xml:space="preserve"> PAGE   \* MERGEFORMAT </w:instrText>
        </w:r>
        <w:r>
          <w:fldChar w:fldCharType="separate"/>
        </w:r>
        <w:r w:rsidR="00D4175D">
          <w:rPr>
            <w:noProof/>
          </w:rPr>
          <w:t>1</w:t>
        </w:r>
        <w:r>
          <w:rPr>
            <w:noProof/>
          </w:rPr>
          <w:fldChar w:fldCharType="end"/>
        </w:r>
      </w:p>
    </w:sdtContent>
  </w:sdt>
  <w:p w:rsidR="002D0BFB" w:rsidRDefault="002D0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9F" w:rsidRDefault="001C1D9F" w:rsidP="008E7685">
      <w:r>
        <w:separator/>
      </w:r>
    </w:p>
  </w:footnote>
  <w:footnote w:type="continuationSeparator" w:id="0">
    <w:p w:rsidR="001C1D9F" w:rsidRDefault="001C1D9F" w:rsidP="008E7685">
      <w:r>
        <w:continuationSeparator/>
      </w:r>
    </w:p>
  </w:footnote>
  <w:footnote w:id="1">
    <w:p w:rsidR="00E33A66" w:rsidRPr="00DF44D1" w:rsidRDefault="00E33A66">
      <w:pPr>
        <w:pStyle w:val="FootnoteText"/>
        <w:rPr>
          <w:rFonts w:asciiTheme="minorHAnsi" w:hAnsiTheme="minorHAnsi"/>
          <w:lang w:val="en-ZA"/>
        </w:rPr>
      </w:pPr>
      <w:r w:rsidRPr="00DF44D1">
        <w:rPr>
          <w:rStyle w:val="FootnoteReference"/>
        </w:rPr>
        <w:footnoteRef/>
      </w:r>
      <w:r w:rsidRPr="00DF44D1">
        <w:t xml:space="preserve"> </w:t>
      </w:r>
      <w:r w:rsidRPr="00DF44D1">
        <w:rPr>
          <w:rFonts w:asciiTheme="minorHAnsi" w:hAnsiTheme="minorHAnsi"/>
          <w:lang w:val="en-ZA"/>
        </w:rPr>
        <w:t>In the case of the Faculties of Pharmacy and Law, the Dean is also the HoD and the Deputy Dean is also the Deputy HoD. Therefore, when the individual is appointed as Dean or Deputy Dean, s/he is automatically appointed as HoD or Deputy HoD respectively.</w:t>
      </w:r>
      <w:r>
        <w:rPr>
          <w:lang w:val="en-ZA"/>
        </w:rPr>
        <w:t xml:space="preserve"> </w:t>
      </w:r>
      <w:r w:rsidR="00DF44D1" w:rsidRPr="00DF44D1">
        <w:rPr>
          <w:rFonts w:asciiTheme="minorHAnsi" w:hAnsiTheme="minorHAnsi"/>
          <w:lang w:val="en-ZA"/>
        </w:rPr>
        <w:t>Should this change in the future, this process will</w:t>
      </w:r>
      <w:r w:rsidR="00DF44D1">
        <w:rPr>
          <w:rFonts w:asciiTheme="minorHAnsi" w:hAnsiTheme="minorHAnsi"/>
          <w:lang w:val="en-ZA"/>
        </w:rPr>
        <w:t xml:space="preserve"> </w:t>
      </w:r>
      <w:r w:rsidR="00DF44D1" w:rsidRPr="00DF44D1">
        <w:rPr>
          <w:rFonts w:asciiTheme="minorHAnsi" w:hAnsiTheme="minorHAnsi"/>
          <w:lang w:val="en-ZA"/>
        </w:rPr>
        <w:t>then apply.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2AA"/>
    <w:multiLevelType w:val="hybridMultilevel"/>
    <w:tmpl w:val="45984424"/>
    <w:lvl w:ilvl="0" w:tplc="854418CE">
      <w:start w:val="1"/>
      <w:numFmt w:val="decimal"/>
      <w:lvlText w:val="%1."/>
      <w:lvlJc w:val="left"/>
      <w:pPr>
        <w:tabs>
          <w:tab w:val="num" w:pos="720"/>
        </w:tabs>
        <w:ind w:left="720" w:hanging="360"/>
      </w:pPr>
      <w:rPr>
        <w:rFonts w:ascii="Calibri" w:eastAsia="Calibri" w:hAnsi="Calibri" w:cs="Times New Roman"/>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3D6CC8"/>
    <w:multiLevelType w:val="hybridMultilevel"/>
    <w:tmpl w:val="FC9EE97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7811C08"/>
    <w:multiLevelType w:val="hybridMultilevel"/>
    <w:tmpl w:val="45DA2E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8CD6434"/>
    <w:multiLevelType w:val="hybridMultilevel"/>
    <w:tmpl w:val="E6386D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9640503"/>
    <w:multiLevelType w:val="hybridMultilevel"/>
    <w:tmpl w:val="C810845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CF82C66"/>
    <w:multiLevelType w:val="hybridMultilevel"/>
    <w:tmpl w:val="03BCB30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F92114E"/>
    <w:multiLevelType w:val="hybridMultilevel"/>
    <w:tmpl w:val="38E29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A92FC1"/>
    <w:multiLevelType w:val="hybridMultilevel"/>
    <w:tmpl w:val="5630CCC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A7D5463"/>
    <w:multiLevelType w:val="hybridMultilevel"/>
    <w:tmpl w:val="9FB69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43E35"/>
    <w:multiLevelType w:val="hybridMultilevel"/>
    <w:tmpl w:val="30EE7C6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B60807"/>
    <w:multiLevelType w:val="hybridMultilevel"/>
    <w:tmpl w:val="424A84E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29D282A"/>
    <w:multiLevelType w:val="hybridMultilevel"/>
    <w:tmpl w:val="FA2ADE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C123E5E"/>
    <w:multiLevelType w:val="hybridMultilevel"/>
    <w:tmpl w:val="03BCB30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74C6EE0"/>
    <w:multiLevelType w:val="hybridMultilevel"/>
    <w:tmpl w:val="64BE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8102B"/>
    <w:multiLevelType w:val="hybridMultilevel"/>
    <w:tmpl w:val="000061D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602A77D2"/>
    <w:multiLevelType w:val="hybridMultilevel"/>
    <w:tmpl w:val="307202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1A4DD5"/>
    <w:multiLevelType w:val="hybridMultilevel"/>
    <w:tmpl w:val="6F6852B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2FB751C"/>
    <w:multiLevelType w:val="hybridMultilevel"/>
    <w:tmpl w:val="FA2ADE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64F00526"/>
    <w:multiLevelType w:val="hybridMultilevel"/>
    <w:tmpl w:val="D26E40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6A3E18F0"/>
    <w:multiLevelType w:val="hybridMultilevel"/>
    <w:tmpl w:val="A686FC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D7F7F90"/>
    <w:multiLevelType w:val="hybridMultilevel"/>
    <w:tmpl w:val="1918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9B3ABC"/>
    <w:multiLevelType w:val="hybridMultilevel"/>
    <w:tmpl w:val="4C28E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A1115"/>
    <w:multiLevelType w:val="hybridMultilevel"/>
    <w:tmpl w:val="13B6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9729AF"/>
    <w:multiLevelType w:val="hybridMultilevel"/>
    <w:tmpl w:val="9916867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nsid w:val="7FDE4893"/>
    <w:multiLevelType w:val="hybridMultilevel"/>
    <w:tmpl w:val="0498AA9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2"/>
  </w:num>
  <w:num w:numId="3">
    <w:abstractNumId w:val="24"/>
  </w:num>
  <w:num w:numId="4">
    <w:abstractNumId w:val="10"/>
  </w:num>
  <w:num w:numId="5">
    <w:abstractNumId w:val="16"/>
  </w:num>
  <w:num w:numId="6">
    <w:abstractNumId w:val="11"/>
  </w:num>
  <w:num w:numId="7">
    <w:abstractNumId w:val="3"/>
  </w:num>
  <w:num w:numId="8">
    <w:abstractNumId w:val="7"/>
  </w:num>
  <w:num w:numId="9">
    <w:abstractNumId w:val="23"/>
  </w:num>
  <w:num w:numId="10">
    <w:abstractNumId w:val="17"/>
  </w:num>
  <w:num w:numId="11">
    <w:abstractNumId w:val="5"/>
  </w:num>
  <w:num w:numId="12">
    <w:abstractNumId w:val="1"/>
  </w:num>
  <w:num w:numId="13">
    <w:abstractNumId w:val="12"/>
  </w:num>
  <w:num w:numId="14">
    <w:abstractNumId w:val="4"/>
  </w:num>
  <w:num w:numId="15">
    <w:abstractNumId w:val="0"/>
  </w:num>
  <w:num w:numId="16">
    <w:abstractNumId w:val="14"/>
  </w:num>
  <w:num w:numId="17">
    <w:abstractNumId w:val="15"/>
  </w:num>
  <w:num w:numId="18">
    <w:abstractNumId w:val="8"/>
  </w:num>
  <w:num w:numId="19">
    <w:abstractNumId w:val="18"/>
  </w:num>
  <w:num w:numId="20">
    <w:abstractNumId w:val="22"/>
  </w:num>
  <w:num w:numId="21">
    <w:abstractNumId w:val="6"/>
  </w:num>
  <w:num w:numId="22">
    <w:abstractNumId w:val="13"/>
  </w:num>
  <w:num w:numId="23">
    <w:abstractNumId w:val="21"/>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0F"/>
    <w:rsid w:val="00000429"/>
    <w:rsid w:val="00027B54"/>
    <w:rsid w:val="00056B45"/>
    <w:rsid w:val="000623B4"/>
    <w:rsid w:val="00080CA7"/>
    <w:rsid w:val="00082AE8"/>
    <w:rsid w:val="000833A3"/>
    <w:rsid w:val="000A237D"/>
    <w:rsid w:val="000C48FA"/>
    <w:rsid w:val="000D253C"/>
    <w:rsid w:val="000D5FCC"/>
    <w:rsid w:val="000E264B"/>
    <w:rsid w:val="000E2992"/>
    <w:rsid w:val="000E464E"/>
    <w:rsid w:val="001052E4"/>
    <w:rsid w:val="00117FA7"/>
    <w:rsid w:val="00130C70"/>
    <w:rsid w:val="00171DE5"/>
    <w:rsid w:val="00186306"/>
    <w:rsid w:val="001A79A5"/>
    <w:rsid w:val="001B05F9"/>
    <w:rsid w:val="001B75BB"/>
    <w:rsid w:val="001B7F50"/>
    <w:rsid w:val="001C1D9F"/>
    <w:rsid w:val="001D75B8"/>
    <w:rsid w:val="002075C5"/>
    <w:rsid w:val="002201FC"/>
    <w:rsid w:val="002216B7"/>
    <w:rsid w:val="002374F5"/>
    <w:rsid w:val="002469BC"/>
    <w:rsid w:val="002730FB"/>
    <w:rsid w:val="00293BB2"/>
    <w:rsid w:val="002B2C7E"/>
    <w:rsid w:val="002D0BFB"/>
    <w:rsid w:val="002F3B30"/>
    <w:rsid w:val="003060CA"/>
    <w:rsid w:val="00350898"/>
    <w:rsid w:val="00392AC5"/>
    <w:rsid w:val="003B322A"/>
    <w:rsid w:val="003C123D"/>
    <w:rsid w:val="003C1C72"/>
    <w:rsid w:val="003C3906"/>
    <w:rsid w:val="003D4174"/>
    <w:rsid w:val="003D7399"/>
    <w:rsid w:val="003F21D4"/>
    <w:rsid w:val="0042705C"/>
    <w:rsid w:val="00443BAA"/>
    <w:rsid w:val="00455755"/>
    <w:rsid w:val="00467CFE"/>
    <w:rsid w:val="0047113F"/>
    <w:rsid w:val="004816CE"/>
    <w:rsid w:val="004852BC"/>
    <w:rsid w:val="004E0F1D"/>
    <w:rsid w:val="004F4ABC"/>
    <w:rsid w:val="00505DFA"/>
    <w:rsid w:val="00516983"/>
    <w:rsid w:val="0052272F"/>
    <w:rsid w:val="005321F3"/>
    <w:rsid w:val="00597571"/>
    <w:rsid w:val="005B3DF0"/>
    <w:rsid w:val="005C5564"/>
    <w:rsid w:val="005E6EFA"/>
    <w:rsid w:val="005E79A1"/>
    <w:rsid w:val="005F20DC"/>
    <w:rsid w:val="00604DEF"/>
    <w:rsid w:val="00617A35"/>
    <w:rsid w:val="0062665F"/>
    <w:rsid w:val="00654A98"/>
    <w:rsid w:val="006565D5"/>
    <w:rsid w:val="006721F3"/>
    <w:rsid w:val="00691AFD"/>
    <w:rsid w:val="00693D31"/>
    <w:rsid w:val="00696C9B"/>
    <w:rsid w:val="006A085A"/>
    <w:rsid w:val="006D0CF8"/>
    <w:rsid w:val="006D50B7"/>
    <w:rsid w:val="006F14F2"/>
    <w:rsid w:val="00704039"/>
    <w:rsid w:val="00713212"/>
    <w:rsid w:val="00755885"/>
    <w:rsid w:val="007842CF"/>
    <w:rsid w:val="0080340F"/>
    <w:rsid w:val="0082248B"/>
    <w:rsid w:val="008778C7"/>
    <w:rsid w:val="008835F4"/>
    <w:rsid w:val="008B3A47"/>
    <w:rsid w:val="008B3BFB"/>
    <w:rsid w:val="008B7B2C"/>
    <w:rsid w:val="008E7685"/>
    <w:rsid w:val="0090703F"/>
    <w:rsid w:val="00945785"/>
    <w:rsid w:val="00957E69"/>
    <w:rsid w:val="0098092E"/>
    <w:rsid w:val="0098160A"/>
    <w:rsid w:val="009C6202"/>
    <w:rsid w:val="00A67EA7"/>
    <w:rsid w:val="00A779C8"/>
    <w:rsid w:val="00A97B8C"/>
    <w:rsid w:val="00AE241D"/>
    <w:rsid w:val="00B05264"/>
    <w:rsid w:val="00B05620"/>
    <w:rsid w:val="00B23E72"/>
    <w:rsid w:val="00B5141F"/>
    <w:rsid w:val="00B84667"/>
    <w:rsid w:val="00BA1E77"/>
    <w:rsid w:val="00BC03A4"/>
    <w:rsid w:val="00BD2C48"/>
    <w:rsid w:val="00BF17B7"/>
    <w:rsid w:val="00C05F9D"/>
    <w:rsid w:val="00C35206"/>
    <w:rsid w:val="00C3644B"/>
    <w:rsid w:val="00C71D78"/>
    <w:rsid w:val="00C73626"/>
    <w:rsid w:val="00CB5895"/>
    <w:rsid w:val="00CD42F5"/>
    <w:rsid w:val="00CE4C45"/>
    <w:rsid w:val="00CF1E99"/>
    <w:rsid w:val="00CF3B1A"/>
    <w:rsid w:val="00D0230A"/>
    <w:rsid w:val="00D125D6"/>
    <w:rsid w:val="00D4175D"/>
    <w:rsid w:val="00D46C10"/>
    <w:rsid w:val="00D51E90"/>
    <w:rsid w:val="00DB52AD"/>
    <w:rsid w:val="00DF44D1"/>
    <w:rsid w:val="00E216C7"/>
    <w:rsid w:val="00E258C9"/>
    <w:rsid w:val="00E33A66"/>
    <w:rsid w:val="00EA47D5"/>
    <w:rsid w:val="00EB30F8"/>
    <w:rsid w:val="00EB7120"/>
    <w:rsid w:val="00F03975"/>
    <w:rsid w:val="00F46CC3"/>
    <w:rsid w:val="00F572F8"/>
    <w:rsid w:val="00F642BA"/>
    <w:rsid w:val="00F67D11"/>
    <w:rsid w:val="00F9390D"/>
    <w:rsid w:val="00FA5623"/>
    <w:rsid w:val="00FB6E88"/>
    <w:rsid w:val="00FB7422"/>
    <w:rsid w:val="00FD41E3"/>
    <w:rsid w:val="00FE22FB"/>
    <w:rsid w:val="00FE528E"/>
    <w:rsid w:val="00FE6FC7"/>
    <w:rsid w:val="00FF3C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0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0F"/>
    <w:pPr>
      <w:ind w:left="720"/>
      <w:contextualSpacing/>
    </w:pPr>
  </w:style>
  <w:style w:type="paragraph" w:styleId="Header">
    <w:name w:val="header"/>
    <w:basedOn w:val="Normal"/>
    <w:link w:val="HeaderChar"/>
    <w:unhideWhenUsed/>
    <w:rsid w:val="008E7685"/>
    <w:pPr>
      <w:tabs>
        <w:tab w:val="center" w:pos="4513"/>
        <w:tab w:val="right" w:pos="9026"/>
      </w:tabs>
    </w:pPr>
  </w:style>
  <w:style w:type="character" w:customStyle="1" w:styleId="HeaderChar">
    <w:name w:val="Header Char"/>
    <w:basedOn w:val="DefaultParagraphFont"/>
    <w:link w:val="Header"/>
    <w:rsid w:val="008E76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E7685"/>
    <w:pPr>
      <w:tabs>
        <w:tab w:val="center" w:pos="4513"/>
        <w:tab w:val="right" w:pos="9026"/>
      </w:tabs>
    </w:pPr>
  </w:style>
  <w:style w:type="character" w:customStyle="1" w:styleId="FooterChar">
    <w:name w:val="Footer Char"/>
    <w:basedOn w:val="DefaultParagraphFont"/>
    <w:link w:val="Footer"/>
    <w:uiPriority w:val="99"/>
    <w:rsid w:val="008E7685"/>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67EA7"/>
    <w:rPr>
      <w:color w:val="0000FF"/>
      <w:u w:val="single"/>
    </w:rPr>
  </w:style>
  <w:style w:type="paragraph" w:styleId="BalloonText">
    <w:name w:val="Balloon Text"/>
    <w:basedOn w:val="Normal"/>
    <w:link w:val="BalloonTextChar"/>
    <w:uiPriority w:val="99"/>
    <w:semiHidden/>
    <w:unhideWhenUsed/>
    <w:rsid w:val="00A67EA7"/>
    <w:rPr>
      <w:rFonts w:ascii="Tahoma" w:hAnsi="Tahoma" w:cs="Tahoma"/>
      <w:sz w:val="16"/>
      <w:szCs w:val="16"/>
    </w:rPr>
  </w:style>
  <w:style w:type="character" w:customStyle="1" w:styleId="BalloonTextChar">
    <w:name w:val="Balloon Text Char"/>
    <w:basedOn w:val="DefaultParagraphFont"/>
    <w:link w:val="BalloonText"/>
    <w:uiPriority w:val="99"/>
    <w:semiHidden/>
    <w:rsid w:val="00A67EA7"/>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E33A66"/>
    <w:rPr>
      <w:sz w:val="20"/>
      <w:szCs w:val="20"/>
    </w:rPr>
  </w:style>
  <w:style w:type="character" w:customStyle="1" w:styleId="FootnoteTextChar">
    <w:name w:val="Footnote Text Char"/>
    <w:basedOn w:val="DefaultParagraphFont"/>
    <w:link w:val="FootnoteText"/>
    <w:uiPriority w:val="99"/>
    <w:semiHidden/>
    <w:rsid w:val="00E33A66"/>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E33A66"/>
    <w:rPr>
      <w:vertAlign w:val="superscript"/>
    </w:rPr>
  </w:style>
  <w:style w:type="character" w:styleId="BookTitle">
    <w:name w:val="Book Title"/>
    <w:uiPriority w:val="33"/>
    <w:qFormat/>
    <w:rsid w:val="000833A3"/>
    <w:rPr>
      <w:b/>
      <w:bCs/>
      <w:smallCaps/>
      <w:spacing w:val="5"/>
    </w:rPr>
  </w:style>
  <w:style w:type="paragraph" w:styleId="Quote">
    <w:name w:val="Quote"/>
    <w:basedOn w:val="Normal"/>
    <w:next w:val="Normal"/>
    <w:link w:val="QuoteChar"/>
    <w:uiPriority w:val="29"/>
    <w:qFormat/>
    <w:rsid w:val="000833A3"/>
    <w:rPr>
      <w:rFonts w:ascii="Arial" w:eastAsia="MS Mincho" w:hAnsi="Arial"/>
      <w:i/>
      <w:iCs/>
      <w:color w:val="000000"/>
      <w:szCs w:val="20"/>
      <w:lang w:val="en-ZA" w:eastAsia="en-US"/>
    </w:rPr>
  </w:style>
  <w:style w:type="character" w:customStyle="1" w:styleId="QuoteChar">
    <w:name w:val="Quote Char"/>
    <w:basedOn w:val="DefaultParagraphFont"/>
    <w:link w:val="Quote"/>
    <w:uiPriority w:val="29"/>
    <w:rsid w:val="000833A3"/>
    <w:rPr>
      <w:rFonts w:ascii="Arial" w:eastAsia="MS Mincho" w:hAnsi="Arial" w:cs="Times New Roman"/>
      <w:i/>
      <w:iCs/>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0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0F"/>
    <w:pPr>
      <w:ind w:left="720"/>
      <w:contextualSpacing/>
    </w:pPr>
  </w:style>
  <w:style w:type="paragraph" w:styleId="Header">
    <w:name w:val="header"/>
    <w:basedOn w:val="Normal"/>
    <w:link w:val="HeaderChar"/>
    <w:unhideWhenUsed/>
    <w:rsid w:val="008E7685"/>
    <w:pPr>
      <w:tabs>
        <w:tab w:val="center" w:pos="4513"/>
        <w:tab w:val="right" w:pos="9026"/>
      </w:tabs>
    </w:pPr>
  </w:style>
  <w:style w:type="character" w:customStyle="1" w:styleId="HeaderChar">
    <w:name w:val="Header Char"/>
    <w:basedOn w:val="DefaultParagraphFont"/>
    <w:link w:val="Header"/>
    <w:rsid w:val="008E76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E7685"/>
    <w:pPr>
      <w:tabs>
        <w:tab w:val="center" w:pos="4513"/>
        <w:tab w:val="right" w:pos="9026"/>
      </w:tabs>
    </w:pPr>
  </w:style>
  <w:style w:type="character" w:customStyle="1" w:styleId="FooterChar">
    <w:name w:val="Footer Char"/>
    <w:basedOn w:val="DefaultParagraphFont"/>
    <w:link w:val="Footer"/>
    <w:uiPriority w:val="99"/>
    <w:rsid w:val="008E7685"/>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67EA7"/>
    <w:rPr>
      <w:color w:val="0000FF"/>
      <w:u w:val="single"/>
    </w:rPr>
  </w:style>
  <w:style w:type="paragraph" w:styleId="BalloonText">
    <w:name w:val="Balloon Text"/>
    <w:basedOn w:val="Normal"/>
    <w:link w:val="BalloonTextChar"/>
    <w:uiPriority w:val="99"/>
    <w:semiHidden/>
    <w:unhideWhenUsed/>
    <w:rsid w:val="00A67EA7"/>
    <w:rPr>
      <w:rFonts w:ascii="Tahoma" w:hAnsi="Tahoma" w:cs="Tahoma"/>
      <w:sz w:val="16"/>
      <w:szCs w:val="16"/>
    </w:rPr>
  </w:style>
  <w:style w:type="character" w:customStyle="1" w:styleId="BalloonTextChar">
    <w:name w:val="Balloon Text Char"/>
    <w:basedOn w:val="DefaultParagraphFont"/>
    <w:link w:val="BalloonText"/>
    <w:uiPriority w:val="99"/>
    <w:semiHidden/>
    <w:rsid w:val="00A67EA7"/>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E33A66"/>
    <w:rPr>
      <w:sz w:val="20"/>
      <w:szCs w:val="20"/>
    </w:rPr>
  </w:style>
  <w:style w:type="character" w:customStyle="1" w:styleId="FootnoteTextChar">
    <w:name w:val="Footnote Text Char"/>
    <w:basedOn w:val="DefaultParagraphFont"/>
    <w:link w:val="FootnoteText"/>
    <w:uiPriority w:val="99"/>
    <w:semiHidden/>
    <w:rsid w:val="00E33A66"/>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E33A66"/>
    <w:rPr>
      <w:vertAlign w:val="superscript"/>
    </w:rPr>
  </w:style>
  <w:style w:type="character" w:styleId="BookTitle">
    <w:name w:val="Book Title"/>
    <w:uiPriority w:val="33"/>
    <w:qFormat/>
    <w:rsid w:val="000833A3"/>
    <w:rPr>
      <w:b/>
      <w:bCs/>
      <w:smallCaps/>
      <w:spacing w:val="5"/>
    </w:rPr>
  </w:style>
  <w:style w:type="paragraph" w:styleId="Quote">
    <w:name w:val="Quote"/>
    <w:basedOn w:val="Normal"/>
    <w:next w:val="Normal"/>
    <w:link w:val="QuoteChar"/>
    <w:uiPriority w:val="29"/>
    <w:qFormat/>
    <w:rsid w:val="000833A3"/>
    <w:rPr>
      <w:rFonts w:ascii="Arial" w:eastAsia="MS Mincho" w:hAnsi="Arial"/>
      <w:i/>
      <w:iCs/>
      <w:color w:val="000000"/>
      <w:szCs w:val="20"/>
      <w:lang w:val="en-ZA" w:eastAsia="en-US"/>
    </w:rPr>
  </w:style>
  <w:style w:type="character" w:customStyle="1" w:styleId="QuoteChar">
    <w:name w:val="Quote Char"/>
    <w:basedOn w:val="DefaultParagraphFont"/>
    <w:link w:val="Quote"/>
    <w:uiPriority w:val="29"/>
    <w:rsid w:val="000833A3"/>
    <w:rPr>
      <w:rFonts w:ascii="Arial" w:eastAsia="MS Mincho" w:hAnsi="Arial" w:cs="Times New Roman"/>
      <w:i/>
      <w:iCs/>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DFAE-5F55-4ACF-BDDA-10FBD9E2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3116</Words>
  <Characters>17763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d.sewry</dc:creator>
  <cp:lastModifiedBy>Rhodes</cp:lastModifiedBy>
  <cp:revision>2</cp:revision>
  <cp:lastPrinted>2012-04-26T09:04:00Z</cp:lastPrinted>
  <dcterms:created xsi:type="dcterms:W3CDTF">2013-06-07T11:03:00Z</dcterms:created>
  <dcterms:modified xsi:type="dcterms:W3CDTF">2013-06-07T11:03:00Z</dcterms:modified>
</cp:coreProperties>
</file>