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01507" w14:textId="77777777" w:rsidR="00EC60CA" w:rsidRPr="00D23A1A" w:rsidRDefault="007804F4" w:rsidP="00D23A1A">
      <w:pPr>
        <w:pStyle w:val="Heading1"/>
        <w:spacing w:line="276" w:lineRule="auto"/>
        <w:jc w:val="center"/>
        <w:rPr>
          <w:rFonts w:asciiTheme="majorHAnsi" w:eastAsia="Trebuchet MS Bold" w:hAnsiTheme="majorHAnsi" w:cs="Trebuchet MS Bold"/>
          <w:b/>
          <w:sz w:val="22"/>
          <w:szCs w:val="22"/>
          <w:u w:val="single"/>
        </w:rPr>
      </w:pPr>
      <w:r w:rsidRPr="00D23A1A">
        <w:rPr>
          <w:rFonts w:asciiTheme="majorHAnsi" w:hAnsiTheme="majorHAnsi"/>
          <w:b/>
          <w:sz w:val="22"/>
          <w:szCs w:val="22"/>
          <w:u w:val="single"/>
        </w:rPr>
        <w:t>PUBLICATIONS AND PRESENTATIONS LIST: PROF A GOVINDJEE</w:t>
      </w:r>
    </w:p>
    <w:p w14:paraId="0BA8E10B" w14:textId="73E40B8D" w:rsidR="006245E4" w:rsidRDefault="006245E4" w:rsidP="00D23A1A">
      <w:pPr>
        <w:spacing w:line="276" w:lineRule="auto"/>
        <w:jc w:val="both"/>
        <w:rPr>
          <w:rFonts w:asciiTheme="majorHAnsi" w:eastAsia="Trebuchet MS" w:hAnsiTheme="majorHAnsi" w:cs="Trebuchet MS"/>
          <w:sz w:val="22"/>
          <w:szCs w:val="22"/>
        </w:rPr>
      </w:pPr>
    </w:p>
    <w:p w14:paraId="6A61BDA3" w14:textId="42B50675" w:rsidR="000A1A08" w:rsidRPr="000A1A08" w:rsidRDefault="000A1A08" w:rsidP="00D23A1A">
      <w:pPr>
        <w:spacing w:line="276" w:lineRule="auto"/>
        <w:jc w:val="both"/>
        <w:rPr>
          <w:rFonts w:asciiTheme="majorHAnsi" w:eastAsia="Trebuchet MS" w:hAnsiTheme="majorHAnsi" w:cs="Trebuchet MS"/>
          <w:b/>
          <w:i/>
          <w:sz w:val="22"/>
          <w:szCs w:val="22"/>
        </w:rPr>
      </w:pPr>
      <w:r w:rsidRPr="000A1A08">
        <w:rPr>
          <w:rFonts w:asciiTheme="majorHAnsi" w:eastAsia="Trebuchet MS" w:hAnsiTheme="majorHAnsi" w:cs="Trebuchet MS"/>
          <w:b/>
          <w:i/>
          <w:sz w:val="22"/>
          <w:szCs w:val="22"/>
        </w:rPr>
        <w:t>Books</w:t>
      </w:r>
    </w:p>
    <w:p w14:paraId="60FEB63F" w14:textId="433C3E9A" w:rsidR="00B82958" w:rsidRDefault="00B82958" w:rsidP="00D23A1A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Van der Berg and Govindjee “The law of evidence and substantive law” in Schwikkard and van der Merwe </w:t>
      </w:r>
      <w:r>
        <w:rPr>
          <w:rFonts w:asciiTheme="majorHAnsi" w:hAnsiTheme="majorHAnsi" w:cs="Times New Roman"/>
          <w:i/>
          <w:color w:val="auto"/>
          <w:sz w:val="22"/>
          <w:szCs w:val="22"/>
        </w:rPr>
        <w:t>Principles of Evidence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(4</w:t>
      </w:r>
      <w:r w:rsidRPr="00B82958">
        <w:rPr>
          <w:rFonts w:asciiTheme="majorHAnsi" w:hAnsiTheme="majorHAnsi" w:cs="Times New Roman"/>
          <w:color w:val="auto"/>
          <w:sz w:val="22"/>
          <w:szCs w:val="22"/>
          <w:vertAlign w:val="superscript"/>
        </w:rPr>
        <w:t>th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Ed) (2015) (forthcoming);</w:t>
      </w:r>
    </w:p>
    <w:p w14:paraId="5231117B" w14:textId="26A27AB6" w:rsidR="00D23A1A" w:rsidRPr="00D23A1A" w:rsidRDefault="00D23A1A" w:rsidP="00D23A1A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D23A1A">
        <w:rPr>
          <w:rFonts w:asciiTheme="majorHAnsi" w:hAnsiTheme="majorHAnsi" w:cs="Times New Roman"/>
          <w:color w:val="auto"/>
          <w:sz w:val="22"/>
          <w:szCs w:val="22"/>
        </w:rPr>
        <w:t>Govindjee &amp; Chetty “Law and religion in the African Union” in Robbers &amp; Durham (eds) Encyclopedia of La</w:t>
      </w:r>
      <w:r w:rsidR="00103971">
        <w:rPr>
          <w:rFonts w:asciiTheme="majorHAnsi" w:hAnsiTheme="majorHAnsi" w:cs="Times New Roman"/>
          <w:color w:val="auto"/>
          <w:sz w:val="22"/>
          <w:szCs w:val="22"/>
        </w:rPr>
        <w:t>w and Religion (forthcoming 2015</w:t>
      </w:r>
      <w:r w:rsidRPr="00D23A1A">
        <w:rPr>
          <w:rFonts w:asciiTheme="majorHAnsi" w:hAnsiTheme="majorHAnsi" w:cs="Times New Roman"/>
          <w:color w:val="auto"/>
          <w:sz w:val="22"/>
          <w:szCs w:val="22"/>
        </w:rPr>
        <w:t>);</w:t>
      </w:r>
    </w:p>
    <w:p w14:paraId="710C40B4" w14:textId="13575C2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Olivier, Dupper and Govindjee “Enhancing the Protection of Transnational Migrant Workers: A Critical Evaluation of Regulatory Techniques” in E Ales and I Senatori (eds) </w:t>
      </w:r>
      <w:r w:rsidRPr="00D23A1A">
        <w:rPr>
          <w:rFonts w:asciiTheme="majorHAnsi" w:hAnsiTheme="majorHAnsi"/>
          <w:i/>
          <w:iCs/>
          <w:sz w:val="22"/>
          <w:szCs w:val="22"/>
        </w:rPr>
        <w:t>The Transnational Dimension of Labour Relations: A new order in the making?</w:t>
      </w:r>
      <w:r w:rsidRPr="00D23A1A">
        <w:rPr>
          <w:rFonts w:asciiTheme="majorHAnsi" w:hAnsiTheme="majorHAnsi"/>
          <w:sz w:val="22"/>
          <w:szCs w:val="22"/>
        </w:rPr>
        <w:t xml:space="preserve"> (Giap</w:t>
      </w:r>
      <w:r w:rsidR="00174A71" w:rsidRPr="00D23A1A">
        <w:rPr>
          <w:rFonts w:asciiTheme="majorHAnsi" w:hAnsiTheme="majorHAnsi"/>
          <w:sz w:val="22"/>
          <w:szCs w:val="22"/>
        </w:rPr>
        <w:t>pichelli Publishers, 2013</w:t>
      </w:r>
      <w:r w:rsidRPr="00D23A1A">
        <w:rPr>
          <w:rFonts w:asciiTheme="majorHAnsi" w:hAnsiTheme="majorHAnsi"/>
          <w:sz w:val="22"/>
          <w:szCs w:val="22"/>
        </w:rPr>
        <w:t>) 291 - 344;</w:t>
      </w:r>
    </w:p>
    <w:p w14:paraId="7E1B2FC6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“Disability”, “Children” and “Road Accidents” (three sections of the title) in M Olivier “Social security: Analysis” in W Joubert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LAWSA </w:t>
      </w:r>
      <w:r w:rsidRPr="00D23A1A">
        <w:rPr>
          <w:rFonts w:asciiTheme="majorHAnsi" w:hAnsiTheme="majorHAnsi"/>
          <w:sz w:val="22"/>
          <w:szCs w:val="22"/>
        </w:rPr>
        <w:t>(Second Edition) (vol 13(3)) LexisNexis (2013);</w:t>
      </w:r>
    </w:p>
    <w:p w14:paraId="7404BED4" w14:textId="5FB7315C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Olivier and Nyenti ““The role of international and regional standards in the development of an appropriate rehabilitation, re-integration and return-to-work policy framework for South Africa”, in Olivier, Dupper and Govindjee (eds) </w:t>
      </w:r>
      <w:r w:rsidRPr="00D23A1A">
        <w:rPr>
          <w:rFonts w:asciiTheme="majorHAnsi" w:hAnsiTheme="majorHAnsi"/>
          <w:i/>
          <w:iCs/>
          <w:sz w:val="22"/>
          <w:szCs w:val="22"/>
        </w:rPr>
        <w:t>The Interaction between</w:t>
      </w:r>
      <w:r w:rsidRPr="00D23A1A">
        <w:rPr>
          <w:rFonts w:asciiTheme="majorHAnsi" w:hAnsiTheme="majorHAnsi"/>
          <w:sz w:val="22"/>
          <w:szCs w:val="22"/>
        </w:rPr>
        <w:t xml:space="preserve">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International, Regional and National Labour Law and Social Security </w:t>
      </w:r>
      <w:r w:rsidRPr="00D23A1A">
        <w:rPr>
          <w:rFonts w:asciiTheme="majorHAnsi" w:hAnsiTheme="majorHAnsi"/>
          <w:sz w:val="22"/>
          <w:szCs w:val="22"/>
        </w:rPr>
        <w:t>(Juta Publishers, 2013);</w:t>
      </w:r>
    </w:p>
    <w:p w14:paraId="7519CD9D" w14:textId="507626B1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Nyenti, Olivier and Govindjee “Reforming the South African social security adjudication system: The role and impact of international and regional standards”, in Olivier, Dupper and Govindjee (eds) </w:t>
      </w:r>
      <w:r w:rsidRPr="00D23A1A">
        <w:rPr>
          <w:rFonts w:asciiTheme="majorHAnsi" w:hAnsiTheme="majorHAnsi"/>
          <w:i/>
          <w:iCs/>
          <w:sz w:val="22"/>
          <w:szCs w:val="22"/>
        </w:rPr>
        <w:t>The Interaction between</w:t>
      </w:r>
      <w:r w:rsidRPr="00D23A1A">
        <w:rPr>
          <w:rFonts w:asciiTheme="majorHAnsi" w:hAnsiTheme="majorHAnsi"/>
          <w:sz w:val="22"/>
          <w:szCs w:val="22"/>
        </w:rPr>
        <w:t xml:space="preserve">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International, Regional and National Labour Law and Social Security </w:t>
      </w:r>
      <w:r w:rsidRPr="00D23A1A">
        <w:rPr>
          <w:rFonts w:asciiTheme="majorHAnsi" w:hAnsiTheme="majorHAnsi"/>
          <w:sz w:val="22"/>
          <w:szCs w:val="22"/>
        </w:rPr>
        <w:t>(Juta Publishers, 2013);</w:t>
      </w:r>
    </w:p>
    <w:p w14:paraId="79F1F0F3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Taiwo “The protection of women refugees under the international refugee convention” in R Islam, JH Bhuiyan (eds) </w:t>
      </w:r>
      <w:r w:rsidRPr="00D23A1A">
        <w:rPr>
          <w:rFonts w:asciiTheme="majorHAnsi" w:hAnsiTheme="majorHAnsi"/>
          <w:i/>
          <w:iCs/>
          <w:sz w:val="22"/>
          <w:szCs w:val="22"/>
        </w:rPr>
        <w:t>An Introduction to International Refugee Law</w:t>
      </w:r>
      <w:r w:rsidRPr="00D23A1A">
        <w:rPr>
          <w:rFonts w:asciiTheme="majorHAnsi" w:hAnsiTheme="majorHAnsi"/>
          <w:sz w:val="22"/>
          <w:szCs w:val="22"/>
        </w:rPr>
        <w:t xml:space="preserve"> (BRILL: Martinus Nijhoff Publishers (Leiden, Boston) (2013) 379-400;</w:t>
      </w:r>
    </w:p>
    <w:p w14:paraId="51B5904A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Govindjee “Institutional framework” (one section of the title)</w:t>
      </w:r>
      <w:bookmarkStart w:id="0" w:name="_GoBack"/>
      <w:bookmarkEnd w:id="0"/>
      <w:r w:rsidRPr="00D23A1A">
        <w:rPr>
          <w:rFonts w:asciiTheme="majorHAnsi" w:hAnsiTheme="majorHAnsi"/>
          <w:sz w:val="22"/>
          <w:szCs w:val="22"/>
        </w:rPr>
        <w:t xml:space="preserve"> in M Olivier “Social security: Framework” in W Joubert </w:t>
      </w:r>
      <w:r w:rsidRPr="00D23A1A">
        <w:rPr>
          <w:rFonts w:asciiTheme="majorHAnsi" w:hAnsiTheme="majorHAnsi"/>
          <w:i/>
          <w:iCs/>
          <w:sz w:val="22"/>
          <w:szCs w:val="22"/>
        </w:rPr>
        <w:t>LAWSA</w:t>
      </w:r>
      <w:r w:rsidRPr="00D23A1A">
        <w:rPr>
          <w:rFonts w:asciiTheme="majorHAnsi" w:hAnsiTheme="majorHAnsi"/>
          <w:sz w:val="22"/>
          <w:szCs w:val="22"/>
        </w:rPr>
        <w:t xml:space="preserve"> (Second Edition) (vol 13(2)) LexisNexis (2012) pars 170-185;</w:t>
      </w:r>
    </w:p>
    <w:p w14:paraId="3D6D4405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Olivier, Govindjee, Nyenti, Cheong, Azman </w:t>
      </w:r>
      <w:r w:rsidRPr="00D23A1A">
        <w:rPr>
          <w:rFonts w:asciiTheme="majorHAnsi" w:hAnsiTheme="majorHAnsi"/>
          <w:i/>
          <w:iCs/>
          <w:sz w:val="22"/>
          <w:szCs w:val="22"/>
        </w:rPr>
        <w:t>SOCSO Return to Work Programme in Malaysia: A Handbook 2012</w:t>
      </w:r>
      <w:r w:rsidRPr="00D23A1A">
        <w:rPr>
          <w:rFonts w:asciiTheme="majorHAnsi" w:hAnsiTheme="majorHAnsi"/>
          <w:sz w:val="22"/>
          <w:szCs w:val="22"/>
        </w:rPr>
        <w:t xml:space="preserve"> (Perkeso, IISLP, 2012);</w:t>
      </w:r>
    </w:p>
    <w:p w14:paraId="23D74531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Dupper “Constitutional perspectives on unemployment security and a right to work in South Africa” in Liebenberg and Quinot (eds) </w:t>
      </w:r>
      <w:r w:rsidRPr="00D23A1A">
        <w:rPr>
          <w:rFonts w:asciiTheme="majorHAnsi" w:hAnsiTheme="majorHAnsi"/>
          <w:i/>
          <w:iCs/>
          <w:sz w:val="22"/>
          <w:szCs w:val="22"/>
        </w:rPr>
        <w:t>Law and Poverty: Perspectives from South Africa and Beyond</w:t>
      </w:r>
      <w:r w:rsidRPr="00D23A1A">
        <w:rPr>
          <w:rFonts w:asciiTheme="majorHAnsi" w:hAnsiTheme="majorHAnsi"/>
          <w:sz w:val="22"/>
          <w:szCs w:val="22"/>
        </w:rPr>
        <w:t xml:space="preserve"> (Juta, 2012);</w:t>
      </w:r>
    </w:p>
    <w:p w14:paraId="14862652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Van der Walt, le Roux and Govindjee (eds) </w:t>
      </w:r>
      <w:r w:rsidRPr="00D23A1A">
        <w:rPr>
          <w:rFonts w:asciiTheme="majorHAnsi" w:hAnsiTheme="majorHAnsi"/>
          <w:i/>
          <w:iCs/>
          <w:sz w:val="22"/>
          <w:szCs w:val="22"/>
        </w:rPr>
        <w:t>Labour Law in Context</w:t>
      </w:r>
      <w:r w:rsidRPr="00D23A1A">
        <w:rPr>
          <w:rFonts w:asciiTheme="majorHAnsi" w:hAnsiTheme="majorHAnsi"/>
          <w:sz w:val="22"/>
          <w:szCs w:val="22"/>
        </w:rPr>
        <w:t xml:space="preserve"> (Pearson Publishers 2012);</w:t>
      </w:r>
    </w:p>
    <w:p w14:paraId="7978D022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Olivier, MP and Govindjee, A “Social Protection Lessons from SADC for the Global South” in Modi, R (ed) </w:t>
      </w:r>
      <w:r w:rsidRPr="00D23A1A">
        <w:rPr>
          <w:rFonts w:asciiTheme="majorHAnsi" w:hAnsiTheme="majorHAnsi"/>
          <w:i/>
          <w:iCs/>
          <w:sz w:val="22"/>
          <w:szCs w:val="22"/>
        </w:rPr>
        <w:t>South-South Co-operation: Africa on the Centre Stage</w:t>
      </w:r>
      <w:r w:rsidRPr="00D23A1A">
        <w:rPr>
          <w:rFonts w:asciiTheme="majorHAnsi" w:hAnsiTheme="majorHAnsi"/>
          <w:sz w:val="22"/>
          <w:szCs w:val="22"/>
        </w:rPr>
        <w:t xml:space="preserve"> International Political Economy Series (2011, Palgrave Macmillan) 184-202;</w:t>
      </w:r>
    </w:p>
    <w:p w14:paraId="2AD598F8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“Constitutional law and human rights” in Meintjes van der Walt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et al Fresh Perspectives:  Introduction to Law </w:t>
      </w:r>
      <w:r w:rsidRPr="00D23A1A">
        <w:rPr>
          <w:rFonts w:asciiTheme="majorHAnsi" w:hAnsiTheme="majorHAnsi"/>
          <w:sz w:val="22"/>
          <w:szCs w:val="22"/>
        </w:rPr>
        <w:t>(Pearson Education / Maskew Miller Longman, Cape Town, first edition – 2008; second edition, Heinemann Publishers 2011);</w:t>
      </w:r>
    </w:p>
    <w:p w14:paraId="5F5A3C3B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Taiwo “Globalization and its effects on the emerging jurisprudence on the right to education in South Africa and Nigeria” in </w:t>
      </w:r>
      <w:r w:rsidRPr="00D23A1A">
        <w:rPr>
          <w:rFonts w:asciiTheme="majorHAnsi" w:hAnsiTheme="majorHAnsi"/>
          <w:i/>
          <w:iCs/>
          <w:sz w:val="22"/>
          <w:szCs w:val="22"/>
        </w:rPr>
        <w:t>Globalization, International Law and Human Rights</w:t>
      </w:r>
      <w:r w:rsidRPr="00D23A1A">
        <w:rPr>
          <w:rFonts w:asciiTheme="majorHAnsi" w:hAnsiTheme="majorHAnsi"/>
          <w:sz w:val="22"/>
          <w:szCs w:val="22"/>
        </w:rPr>
        <w:t xml:space="preserve"> (2011, Oxford University Press) 111-146;</w:t>
      </w:r>
    </w:p>
    <w:p w14:paraId="23C590FB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Kruger “The Basic Structure Doctrine Debate: South African Explorations” in Jain and Narayan (eds)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Basic Structure Constitutionalism – Revisiting Kesavananda Bharti </w:t>
      </w:r>
      <w:r w:rsidRPr="00D23A1A">
        <w:rPr>
          <w:rFonts w:asciiTheme="majorHAnsi" w:hAnsiTheme="majorHAnsi"/>
          <w:sz w:val="22"/>
          <w:szCs w:val="22"/>
        </w:rPr>
        <w:t>(2011, Eastern Book Company) 209-227;</w:t>
      </w:r>
    </w:p>
    <w:p w14:paraId="6D57B616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lastRenderedPageBreak/>
        <w:t xml:space="preserve">Govindjee, A and Olivier, M “Finding the boundary – the role of the courts in giving effect to socio-economic rights in South Africa” in Osode, PC and Glover, G (eds)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Law and Transformative Justice in Post-Apartheid South Africa </w:t>
      </w:r>
      <w:r w:rsidRPr="00D23A1A">
        <w:rPr>
          <w:rFonts w:asciiTheme="majorHAnsi" w:hAnsiTheme="majorHAnsi"/>
          <w:sz w:val="22"/>
          <w:szCs w:val="22"/>
        </w:rPr>
        <w:t>(2010, Spekboom Publishers) 77-98;</w:t>
      </w:r>
    </w:p>
    <w:p w14:paraId="58F16014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Mahler-Coetzee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Law Lifeline: Law of Contract </w:t>
      </w:r>
      <w:r w:rsidRPr="00D23A1A">
        <w:rPr>
          <w:rFonts w:asciiTheme="majorHAnsi" w:hAnsiTheme="majorHAnsi"/>
          <w:sz w:val="22"/>
          <w:szCs w:val="22"/>
        </w:rPr>
        <w:t>- LexisNexis Workbook Series (LexisNexis, Durban, 2010);</w:t>
      </w:r>
    </w:p>
    <w:p w14:paraId="3EFFC34C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Mahler-Coetzee and Govindjee </w:t>
      </w:r>
      <w:r w:rsidRPr="00D23A1A">
        <w:rPr>
          <w:rFonts w:asciiTheme="majorHAnsi" w:hAnsiTheme="majorHAnsi"/>
          <w:i/>
          <w:iCs/>
          <w:sz w:val="22"/>
          <w:szCs w:val="22"/>
        </w:rPr>
        <w:t>Lifeline: Law of Delict</w:t>
      </w:r>
      <w:r w:rsidRPr="00D23A1A">
        <w:rPr>
          <w:rFonts w:asciiTheme="majorHAnsi" w:hAnsiTheme="majorHAnsi"/>
          <w:sz w:val="22"/>
          <w:szCs w:val="22"/>
        </w:rPr>
        <w:t xml:space="preserve"> – LexisNexis Workbook Series (LexisNexis, Durban, 2010);</w:t>
      </w:r>
    </w:p>
    <w:p w14:paraId="74F400E4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Vrancken (eds) </w:t>
      </w:r>
      <w:r w:rsidRPr="00D23A1A">
        <w:rPr>
          <w:rFonts w:asciiTheme="majorHAnsi" w:hAnsiTheme="majorHAnsi"/>
          <w:i/>
          <w:iCs/>
          <w:sz w:val="22"/>
          <w:szCs w:val="22"/>
        </w:rPr>
        <w:t>Introduction to Human Rights Law</w:t>
      </w:r>
      <w:r w:rsidRPr="00D23A1A">
        <w:rPr>
          <w:rFonts w:asciiTheme="majorHAnsi" w:hAnsiTheme="majorHAnsi"/>
          <w:sz w:val="22"/>
          <w:szCs w:val="22"/>
        </w:rPr>
        <w:t xml:space="preserve"> (LexisNexis Butterworths, 2009);</w:t>
      </w:r>
    </w:p>
    <w:p w14:paraId="4FD31334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“Introducing Law to Commerce Students: A case study” in Lebowitz, Van der Merwe and Van Schalkwyk (eds) </w:t>
      </w:r>
      <w:r w:rsidRPr="00D23A1A">
        <w:rPr>
          <w:rFonts w:asciiTheme="majorHAnsi" w:hAnsiTheme="majorHAnsi"/>
          <w:i/>
          <w:iCs/>
          <w:sz w:val="22"/>
          <w:szCs w:val="22"/>
        </w:rPr>
        <w:t>Focus on First-Year Success: Perspectives emerging from South Africa and Beyond</w:t>
      </w:r>
      <w:r w:rsidRPr="00D23A1A">
        <w:rPr>
          <w:rFonts w:asciiTheme="majorHAnsi" w:hAnsiTheme="majorHAnsi"/>
          <w:sz w:val="22"/>
          <w:szCs w:val="22"/>
        </w:rPr>
        <w:t xml:space="preserve"> (peer-reviewed) (SUN Press, Stellenbosch, 2009) 155-166;</w:t>
      </w:r>
    </w:p>
    <w:p w14:paraId="6F948CC7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</w:t>
      </w:r>
      <w:r w:rsidRPr="00D23A1A">
        <w:rPr>
          <w:rFonts w:asciiTheme="majorHAnsi" w:hAnsiTheme="majorHAnsi"/>
          <w:i/>
          <w:iCs/>
          <w:sz w:val="22"/>
          <w:szCs w:val="22"/>
        </w:rPr>
        <w:t>Social Assistance as a Framework for Social Policy in South Africa</w:t>
      </w:r>
      <w:r w:rsidRPr="00D23A1A">
        <w:rPr>
          <w:rFonts w:asciiTheme="majorHAnsi" w:hAnsiTheme="majorHAnsi"/>
          <w:sz w:val="22"/>
          <w:szCs w:val="22"/>
        </w:rPr>
        <w:t xml:space="preserve"> (VDM Verlag Publishers, Germany, 2009);</w:t>
      </w:r>
    </w:p>
    <w:p w14:paraId="30E994CC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Holness, Driver, Etsebeth, Horsten, Keep) </w:t>
      </w:r>
      <w:r w:rsidRPr="00D23A1A">
        <w:rPr>
          <w:rFonts w:asciiTheme="majorHAnsi" w:hAnsiTheme="majorHAnsi"/>
          <w:i/>
          <w:iCs/>
          <w:sz w:val="22"/>
          <w:szCs w:val="22"/>
        </w:rPr>
        <w:t>Fresh Perspectives:  Commercial Law 2</w:t>
      </w:r>
      <w:r w:rsidRPr="00D23A1A">
        <w:rPr>
          <w:rFonts w:asciiTheme="majorHAnsi" w:hAnsiTheme="majorHAnsi"/>
          <w:sz w:val="22"/>
          <w:szCs w:val="22"/>
        </w:rPr>
        <w:t xml:space="preserve"> (Pearson Education / Maskew Miller Longman, Cape Town, 2007);</w:t>
      </w:r>
    </w:p>
    <w:p w14:paraId="0BFE1C2C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</w:t>
      </w:r>
      <w:r w:rsidRPr="00D23A1A">
        <w:rPr>
          <w:rFonts w:asciiTheme="majorHAnsi" w:hAnsiTheme="majorHAnsi"/>
          <w:i/>
          <w:iCs/>
          <w:sz w:val="22"/>
          <w:szCs w:val="22"/>
        </w:rPr>
        <w:t>LAWSA</w:t>
      </w:r>
      <w:r w:rsidRPr="00D23A1A">
        <w:rPr>
          <w:rFonts w:asciiTheme="majorHAnsi" w:hAnsiTheme="majorHAnsi"/>
          <w:sz w:val="22"/>
          <w:szCs w:val="22"/>
        </w:rPr>
        <w:t xml:space="preserve"> title on “Negotiable Instruments” vol. 19, 1 – 113 (Lexis-Nexis Butterworths, Durban, 2006) (peer-reviewed);</w:t>
      </w:r>
    </w:p>
    <w:p w14:paraId="2E8B7118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Holness and Shirk)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Fresh Perspectives:  Commercial Law 1 </w:t>
      </w:r>
      <w:r w:rsidRPr="00D23A1A">
        <w:rPr>
          <w:rFonts w:asciiTheme="majorHAnsi" w:hAnsiTheme="majorHAnsi"/>
          <w:sz w:val="22"/>
          <w:szCs w:val="22"/>
        </w:rPr>
        <w:t>(Pearson Education / Maskew Miller Longman, Cape Town, 2006);</w:t>
      </w:r>
    </w:p>
    <w:p w14:paraId="367E6688" w14:textId="77777777" w:rsidR="00EC60CA" w:rsidRPr="00D23A1A" w:rsidRDefault="007804F4" w:rsidP="00D23A1A">
      <w:pPr>
        <w:numPr>
          <w:ilvl w:val="0"/>
          <w:numId w:val="3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Holness and Shirk) </w:t>
      </w:r>
      <w:r w:rsidRPr="00D23A1A">
        <w:rPr>
          <w:rFonts w:asciiTheme="majorHAnsi" w:hAnsiTheme="majorHAnsi"/>
          <w:i/>
          <w:iCs/>
          <w:sz w:val="22"/>
          <w:szCs w:val="22"/>
        </w:rPr>
        <w:t>X-Kit:  Undergraduate Commercial Law</w:t>
      </w:r>
      <w:r w:rsidRPr="00D23A1A">
        <w:rPr>
          <w:rFonts w:asciiTheme="majorHAnsi" w:hAnsiTheme="majorHAnsi"/>
          <w:sz w:val="22"/>
          <w:szCs w:val="22"/>
        </w:rPr>
        <w:t xml:space="preserve"> (Pearson Education / Maskew Miller Longman, Cape Town, 2006);</w:t>
      </w:r>
    </w:p>
    <w:p w14:paraId="3F849169" w14:textId="77777777" w:rsidR="00174A71" w:rsidRPr="00D23A1A" w:rsidRDefault="00174A71" w:rsidP="00D23A1A">
      <w:pPr>
        <w:spacing w:line="276" w:lineRule="auto"/>
        <w:jc w:val="both"/>
        <w:rPr>
          <w:rFonts w:asciiTheme="majorHAnsi" w:eastAsia="Trebuchet MS" w:hAnsiTheme="majorHAnsi" w:cs="Trebuchet MS"/>
          <w:sz w:val="22"/>
          <w:szCs w:val="22"/>
        </w:rPr>
      </w:pPr>
    </w:p>
    <w:p w14:paraId="1A261FAC" w14:textId="77777777" w:rsidR="00EC60CA" w:rsidRPr="00D23A1A" w:rsidRDefault="007804F4" w:rsidP="00D23A1A">
      <w:pPr>
        <w:spacing w:line="276" w:lineRule="auto"/>
        <w:jc w:val="both"/>
        <w:rPr>
          <w:rFonts w:asciiTheme="majorHAnsi" w:eastAsia="Trebuchet MS" w:hAnsiTheme="majorHAnsi" w:cs="Trebuchet MS"/>
          <w:b/>
          <w:bCs/>
          <w:i/>
          <w:iCs/>
          <w:sz w:val="22"/>
          <w:szCs w:val="22"/>
        </w:rPr>
      </w:pPr>
      <w:r w:rsidRPr="00D23A1A">
        <w:rPr>
          <w:rFonts w:asciiTheme="majorHAnsi" w:hAnsiTheme="majorHAnsi"/>
          <w:b/>
          <w:bCs/>
          <w:i/>
          <w:iCs/>
          <w:sz w:val="22"/>
          <w:szCs w:val="22"/>
        </w:rPr>
        <w:t>Articles in Accredited Journals</w:t>
      </w:r>
    </w:p>
    <w:p w14:paraId="77949183" w14:textId="04FB2144" w:rsidR="001E5B4B" w:rsidRPr="00D23A1A" w:rsidRDefault="001E5B4B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>Botha and Govindjee</w:t>
      </w:r>
      <w:r w:rsidR="000B2536" w:rsidRPr="00D23A1A">
        <w:rPr>
          <w:rFonts w:asciiTheme="majorHAnsi" w:eastAsia="Trebuchet MS" w:hAnsiTheme="majorHAnsi" w:cs="Trebuchet MS"/>
          <w:sz w:val="22"/>
          <w:szCs w:val="22"/>
        </w:rPr>
        <w:t xml:space="preserve"> </w:t>
      </w:r>
      <w:r w:rsidR="00D57C4B" w:rsidRPr="00D23A1A">
        <w:rPr>
          <w:rFonts w:asciiTheme="majorHAnsi" w:eastAsia="Trebuchet MS" w:hAnsiTheme="majorHAnsi" w:cs="Trebuchet MS"/>
          <w:sz w:val="22"/>
          <w:szCs w:val="22"/>
        </w:rPr>
        <w:t xml:space="preserve">“Regulating cases of extreme hate speech in South Africa: A suggested framework for a legislated criminal sanction” </w:t>
      </w:r>
      <w:r w:rsidR="00D57C4B" w:rsidRPr="00D23A1A">
        <w:rPr>
          <w:rFonts w:asciiTheme="majorHAnsi" w:eastAsia="Trebuchet MS" w:hAnsiTheme="majorHAnsi" w:cs="Trebuchet MS"/>
          <w:i/>
          <w:sz w:val="22"/>
          <w:szCs w:val="22"/>
        </w:rPr>
        <w:t xml:space="preserve">South African Journal of Criminal Justice </w:t>
      </w:r>
      <w:r w:rsidR="00B64105" w:rsidRPr="00D23A1A">
        <w:rPr>
          <w:rFonts w:asciiTheme="majorHAnsi" w:eastAsia="Trebuchet MS" w:hAnsiTheme="majorHAnsi" w:cs="Trebuchet MS"/>
          <w:sz w:val="22"/>
          <w:szCs w:val="22"/>
        </w:rPr>
        <w:t>(201</w:t>
      </w:r>
      <w:r w:rsidR="00ED633E">
        <w:rPr>
          <w:rFonts w:asciiTheme="majorHAnsi" w:eastAsia="Trebuchet MS" w:hAnsiTheme="majorHAnsi" w:cs="Trebuchet MS"/>
          <w:sz w:val="22"/>
          <w:szCs w:val="22"/>
        </w:rPr>
        <w:t>4) (117-155</w:t>
      </w:r>
      <w:r w:rsidR="00B64105" w:rsidRPr="00D23A1A">
        <w:rPr>
          <w:rFonts w:asciiTheme="majorHAnsi" w:eastAsia="Trebuchet MS" w:hAnsiTheme="majorHAnsi" w:cs="Trebuchet MS"/>
          <w:sz w:val="22"/>
          <w:szCs w:val="22"/>
        </w:rPr>
        <w:t>);</w:t>
      </w:r>
    </w:p>
    <w:p w14:paraId="68011131" w14:textId="1D2E0158" w:rsidR="00DD2427" w:rsidRPr="00D23A1A" w:rsidRDefault="00DD2427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 xml:space="preserve">Chetty and Govindjee </w:t>
      </w:r>
      <w:r w:rsidR="00DB04CB" w:rsidRPr="00D23A1A">
        <w:rPr>
          <w:rFonts w:asciiTheme="majorHAnsi" w:eastAsia="Trebuchet MS" w:hAnsiTheme="majorHAnsi" w:cs="Trebuchet MS"/>
          <w:sz w:val="22"/>
          <w:szCs w:val="22"/>
        </w:rPr>
        <w:t xml:space="preserve">“Freedom of religion of children in private schools” accepted for publication in </w:t>
      </w:r>
      <w:r w:rsidR="00AC1B0E" w:rsidRPr="00D23A1A">
        <w:rPr>
          <w:rFonts w:asciiTheme="majorHAnsi" w:eastAsia="Trebuchet MS" w:hAnsiTheme="majorHAnsi" w:cs="Trebuchet MS"/>
          <w:i/>
          <w:sz w:val="22"/>
          <w:szCs w:val="22"/>
        </w:rPr>
        <w:t>South African Journal of Juridical Science</w:t>
      </w:r>
      <w:r w:rsidR="00DB04CB" w:rsidRPr="00D23A1A">
        <w:rPr>
          <w:rFonts w:asciiTheme="majorHAnsi" w:eastAsia="Trebuchet MS" w:hAnsiTheme="majorHAnsi" w:cs="Trebuchet MS"/>
          <w:sz w:val="22"/>
          <w:szCs w:val="22"/>
        </w:rPr>
        <w:t xml:space="preserve"> (2014)</w:t>
      </w:r>
      <w:r w:rsidR="00B64105" w:rsidRPr="00D23A1A">
        <w:rPr>
          <w:rFonts w:asciiTheme="majorHAnsi" w:eastAsia="Trebuchet MS" w:hAnsiTheme="majorHAnsi" w:cs="Trebuchet MS"/>
          <w:sz w:val="22"/>
          <w:szCs w:val="22"/>
        </w:rPr>
        <w:t xml:space="preserve"> (page numbers being finalized)</w:t>
      </w:r>
      <w:r w:rsidR="00DB04CB" w:rsidRPr="00D23A1A">
        <w:rPr>
          <w:rFonts w:asciiTheme="majorHAnsi" w:eastAsia="Trebuchet MS" w:hAnsiTheme="majorHAnsi" w:cs="Trebuchet MS"/>
          <w:sz w:val="22"/>
          <w:szCs w:val="22"/>
        </w:rPr>
        <w:t>;</w:t>
      </w:r>
    </w:p>
    <w:p w14:paraId="1A4BCCDD" w14:textId="561A6C3B" w:rsidR="00DD2427" w:rsidRPr="00D23A1A" w:rsidRDefault="00DD2427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>Du Plessis, Govindjee &amp; van der Walt</w:t>
      </w:r>
      <w:r w:rsidR="00AC1B0E" w:rsidRPr="00D23A1A">
        <w:rPr>
          <w:rFonts w:asciiTheme="majorHAnsi" w:eastAsia="Trebuchet MS" w:hAnsiTheme="majorHAnsi" w:cs="Trebuchet MS"/>
          <w:i/>
          <w:sz w:val="22"/>
          <w:szCs w:val="22"/>
        </w:rPr>
        <w:t xml:space="preserve"> </w:t>
      </w:r>
      <w:r w:rsidR="004352C1" w:rsidRPr="00D23A1A">
        <w:rPr>
          <w:rFonts w:asciiTheme="majorHAnsi" w:eastAsia="Trebuchet MS" w:hAnsiTheme="majorHAnsi" w:cs="Trebuchet MS"/>
          <w:i/>
          <w:sz w:val="22"/>
          <w:szCs w:val="22"/>
        </w:rPr>
        <w:t>‘</w:t>
      </w:r>
      <w:r w:rsidR="004352C1" w:rsidRPr="00D23A1A">
        <w:rPr>
          <w:rFonts w:asciiTheme="majorHAnsi" w:eastAsia="Trebuchet MS" w:hAnsiTheme="majorHAnsi" w:cs="Trebuchet MS"/>
          <w:sz w:val="22"/>
          <w:szCs w:val="22"/>
        </w:rPr>
        <w:t>“Saviour siblings” and “benefactor children”</w:t>
      </w:r>
      <w:r w:rsidR="005B541C" w:rsidRPr="00D23A1A">
        <w:rPr>
          <w:rFonts w:asciiTheme="majorHAnsi" w:eastAsia="Trebuchet MS" w:hAnsiTheme="majorHAnsi" w:cs="Trebuchet MS"/>
          <w:sz w:val="22"/>
          <w:szCs w:val="22"/>
        </w:rPr>
        <w:t>’</w:t>
      </w:r>
      <w:r w:rsidR="004352C1" w:rsidRPr="00D23A1A">
        <w:rPr>
          <w:rFonts w:asciiTheme="majorHAnsi" w:eastAsia="Trebuchet MS" w:hAnsiTheme="majorHAnsi" w:cs="Trebuchet MS"/>
          <w:sz w:val="22"/>
          <w:szCs w:val="22"/>
        </w:rPr>
        <w:t xml:space="preserve"> in South Africa: A legal analysis” </w:t>
      </w:r>
      <w:r w:rsidR="00AC1B0E" w:rsidRPr="00D23A1A">
        <w:rPr>
          <w:rFonts w:asciiTheme="majorHAnsi" w:eastAsia="Trebuchet MS" w:hAnsiTheme="majorHAnsi" w:cs="Trebuchet MS"/>
          <w:i/>
          <w:sz w:val="22"/>
          <w:szCs w:val="22"/>
        </w:rPr>
        <w:t>Obiter</w:t>
      </w:r>
      <w:r w:rsidR="004352C1" w:rsidRPr="00D23A1A">
        <w:rPr>
          <w:rFonts w:asciiTheme="majorHAnsi" w:eastAsia="Trebuchet MS" w:hAnsiTheme="majorHAnsi" w:cs="Trebuchet MS"/>
          <w:sz w:val="22"/>
          <w:szCs w:val="22"/>
        </w:rPr>
        <w:t xml:space="preserve"> (2014)</w:t>
      </w:r>
      <w:r w:rsidR="00B64105" w:rsidRPr="00D23A1A">
        <w:rPr>
          <w:rFonts w:asciiTheme="majorHAnsi" w:eastAsia="Trebuchet MS" w:hAnsiTheme="majorHAnsi" w:cs="Trebuchet MS"/>
          <w:sz w:val="22"/>
          <w:szCs w:val="22"/>
        </w:rPr>
        <w:t xml:space="preserve"> 224-253</w:t>
      </w:r>
      <w:r w:rsidR="004352C1" w:rsidRPr="00D23A1A">
        <w:rPr>
          <w:rFonts w:asciiTheme="majorHAnsi" w:eastAsia="Trebuchet MS" w:hAnsiTheme="majorHAnsi" w:cs="Trebuchet MS"/>
          <w:sz w:val="22"/>
          <w:szCs w:val="22"/>
        </w:rPr>
        <w:t>;</w:t>
      </w:r>
    </w:p>
    <w:p w14:paraId="36936931" w14:textId="43ADFD0C" w:rsidR="001B733D" w:rsidRPr="00D23A1A" w:rsidRDefault="001B733D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 xml:space="preserve">Botma-Kleu and Govindjee “The role of reasonableness in the review of CCMA arbitration awards in South Africa: An English law comparison” </w:t>
      </w:r>
      <w:r w:rsidRPr="00D23A1A">
        <w:rPr>
          <w:rFonts w:asciiTheme="majorHAnsi" w:eastAsia="Trebuchet MS" w:hAnsiTheme="majorHAnsi" w:cs="Trebuchet MS"/>
          <w:i/>
          <w:sz w:val="22"/>
          <w:szCs w:val="22"/>
        </w:rPr>
        <w:t>Industrial Law Journal</w:t>
      </w:r>
      <w:r w:rsidR="005B541C" w:rsidRPr="00D23A1A">
        <w:rPr>
          <w:rFonts w:asciiTheme="majorHAnsi" w:eastAsia="Trebuchet MS" w:hAnsiTheme="majorHAnsi" w:cs="Trebuchet MS"/>
          <w:sz w:val="22"/>
          <w:szCs w:val="22"/>
        </w:rPr>
        <w:t xml:space="preserve"> (vol 35, </w:t>
      </w:r>
      <w:r w:rsidRPr="00D23A1A">
        <w:rPr>
          <w:rFonts w:asciiTheme="majorHAnsi" w:eastAsia="Trebuchet MS" w:hAnsiTheme="majorHAnsi" w:cs="Trebuchet MS"/>
          <w:sz w:val="22"/>
          <w:szCs w:val="22"/>
        </w:rPr>
        <w:t>July 2014) (1749-1776);</w:t>
      </w:r>
    </w:p>
    <w:p w14:paraId="71E5F1C2" w14:textId="494E481E" w:rsidR="006245E4" w:rsidRPr="00D23A1A" w:rsidRDefault="006245E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 xml:space="preserve">Du Plessis, </w:t>
      </w:r>
      <w:r w:rsidR="00B166B8" w:rsidRPr="00D23A1A">
        <w:rPr>
          <w:rFonts w:asciiTheme="majorHAnsi" w:eastAsia="Trebuchet MS" w:hAnsiTheme="majorHAnsi" w:cs="Trebuchet MS"/>
          <w:sz w:val="22"/>
          <w:szCs w:val="22"/>
        </w:rPr>
        <w:t>van der Walt &amp; Govindjee “The constitutional rights of children to bodily integrity and auton</w:t>
      </w:r>
      <w:r w:rsidR="00137041" w:rsidRPr="00D23A1A">
        <w:rPr>
          <w:rFonts w:asciiTheme="majorHAnsi" w:eastAsia="Trebuchet MS" w:hAnsiTheme="majorHAnsi" w:cs="Trebuchet MS"/>
          <w:sz w:val="22"/>
          <w:szCs w:val="22"/>
        </w:rPr>
        <w:t xml:space="preserve">omy” </w:t>
      </w:r>
      <w:r w:rsidR="00B166B8" w:rsidRPr="00D23A1A">
        <w:rPr>
          <w:rFonts w:asciiTheme="majorHAnsi" w:eastAsia="Trebuchet MS" w:hAnsiTheme="majorHAnsi" w:cs="Trebuchet MS"/>
          <w:i/>
          <w:sz w:val="22"/>
          <w:szCs w:val="22"/>
        </w:rPr>
        <w:t>Obiter</w:t>
      </w:r>
      <w:r w:rsidR="00B166B8" w:rsidRPr="00D23A1A">
        <w:rPr>
          <w:rFonts w:asciiTheme="majorHAnsi" w:eastAsia="Trebuchet MS" w:hAnsiTheme="majorHAnsi" w:cs="Trebuchet MS"/>
          <w:sz w:val="22"/>
          <w:szCs w:val="22"/>
        </w:rPr>
        <w:t xml:space="preserve"> (</w:t>
      </w:r>
      <w:r w:rsidR="00137041" w:rsidRPr="00D23A1A">
        <w:rPr>
          <w:rFonts w:asciiTheme="majorHAnsi" w:eastAsia="Trebuchet MS" w:hAnsiTheme="majorHAnsi" w:cs="Trebuchet MS"/>
          <w:sz w:val="22"/>
          <w:szCs w:val="22"/>
        </w:rPr>
        <w:t>vol 35(1) 2014</w:t>
      </w:r>
      <w:r w:rsidR="00B166B8" w:rsidRPr="00D23A1A">
        <w:rPr>
          <w:rFonts w:asciiTheme="majorHAnsi" w:eastAsia="Trebuchet MS" w:hAnsiTheme="majorHAnsi" w:cs="Trebuchet MS"/>
          <w:sz w:val="22"/>
          <w:szCs w:val="22"/>
        </w:rPr>
        <w:t>)</w:t>
      </w:r>
      <w:r w:rsidR="00137041" w:rsidRPr="00D23A1A">
        <w:rPr>
          <w:rFonts w:asciiTheme="majorHAnsi" w:eastAsia="Trebuchet MS" w:hAnsiTheme="majorHAnsi" w:cs="Trebuchet MS"/>
          <w:sz w:val="22"/>
          <w:szCs w:val="22"/>
        </w:rPr>
        <w:t xml:space="preserve"> 1-23</w:t>
      </w:r>
      <w:r w:rsidR="00B166B8" w:rsidRPr="00D23A1A">
        <w:rPr>
          <w:rFonts w:asciiTheme="majorHAnsi" w:eastAsia="Trebuchet MS" w:hAnsiTheme="majorHAnsi" w:cs="Trebuchet MS"/>
          <w:sz w:val="22"/>
          <w:szCs w:val="22"/>
        </w:rPr>
        <w:t>;</w:t>
      </w:r>
    </w:p>
    <w:p w14:paraId="4399CDAB" w14:textId="35A6FCD3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Van Heerden, Govindjee and Holness “The constitutionality of statutory limitation to the right of access to information held by the state in South Africa” </w:t>
      </w:r>
      <w:r w:rsidRPr="00D23A1A">
        <w:rPr>
          <w:rFonts w:asciiTheme="majorHAnsi" w:hAnsiTheme="majorHAnsi"/>
          <w:i/>
          <w:iCs/>
          <w:sz w:val="22"/>
          <w:szCs w:val="22"/>
        </w:rPr>
        <w:t>Speculum Juris</w:t>
      </w:r>
      <w:r w:rsidR="00E6101B" w:rsidRPr="00D23A1A">
        <w:rPr>
          <w:rFonts w:asciiTheme="majorHAnsi" w:hAnsiTheme="majorHAnsi"/>
          <w:sz w:val="22"/>
          <w:szCs w:val="22"/>
        </w:rPr>
        <w:t xml:space="preserve"> (2014</w:t>
      </w:r>
      <w:r w:rsidRPr="00D23A1A">
        <w:rPr>
          <w:rFonts w:asciiTheme="majorHAnsi" w:hAnsiTheme="majorHAnsi"/>
          <w:sz w:val="22"/>
          <w:szCs w:val="22"/>
        </w:rPr>
        <w:t xml:space="preserve">, vol </w:t>
      </w:r>
      <w:r w:rsidR="00023E23" w:rsidRPr="00D23A1A">
        <w:rPr>
          <w:rFonts w:asciiTheme="majorHAnsi" w:hAnsiTheme="majorHAnsi"/>
          <w:sz w:val="22"/>
          <w:szCs w:val="22"/>
        </w:rPr>
        <w:t>1</w:t>
      </w:r>
      <w:r w:rsidRPr="00D23A1A">
        <w:rPr>
          <w:rFonts w:asciiTheme="majorHAnsi" w:hAnsiTheme="majorHAnsi"/>
          <w:sz w:val="22"/>
          <w:szCs w:val="22"/>
        </w:rPr>
        <w:t>)</w:t>
      </w:r>
      <w:r w:rsidR="00023E23" w:rsidRPr="00D23A1A">
        <w:rPr>
          <w:rFonts w:asciiTheme="majorHAnsi" w:hAnsiTheme="majorHAnsi"/>
          <w:sz w:val="22"/>
          <w:szCs w:val="22"/>
        </w:rPr>
        <w:t xml:space="preserve"> 27-54 (accessible at www.speculumjuris.co.za)</w:t>
      </w:r>
      <w:r w:rsidRPr="00D23A1A">
        <w:rPr>
          <w:rFonts w:asciiTheme="majorHAnsi" w:hAnsiTheme="majorHAnsi"/>
          <w:sz w:val="22"/>
          <w:szCs w:val="22"/>
        </w:rPr>
        <w:t>;</w:t>
      </w:r>
    </w:p>
    <w:p w14:paraId="7E73FE32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Taiwo and Govindjee “The implementation of the right to education in South Africa and Nigeria (Part 1)” in </w:t>
      </w:r>
      <w:r w:rsidRPr="00D23A1A">
        <w:rPr>
          <w:rFonts w:asciiTheme="majorHAnsi" w:hAnsiTheme="majorHAnsi"/>
          <w:i/>
          <w:iCs/>
          <w:sz w:val="22"/>
          <w:szCs w:val="22"/>
        </w:rPr>
        <w:t>Obiter</w:t>
      </w:r>
      <w:r w:rsidRPr="00D23A1A">
        <w:rPr>
          <w:rFonts w:asciiTheme="majorHAnsi" w:hAnsiTheme="majorHAnsi"/>
          <w:sz w:val="22"/>
          <w:szCs w:val="22"/>
        </w:rPr>
        <w:t xml:space="preserve"> (2012, vol 33(1)) 93-120;</w:t>
      </w:r>
    </w:p>
    <w:p w14:paraId="42EBC5A4" w14:textId="642D10EE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Taiwo and Govindjee “The implementation of the right to education in South Africa an</w:t>
      </w:r>
      <w:r w:rsidR="00E95FC4">
        <w:rPr>
          <w:rFonts w:asciiTheme="majorHAnsi" w:hAnsiTheme="majorHAnsi"/>
          <w:sz w:val="22"/>
          <w:szCs w:val="22"/>
        </w:rPr>
        <w:t xml:space="preserve">d Nigeria (Part 2) </w:t>
      </w:r>
      <w:r w:rsidRPr="00D23A1A">
        <w:rPr>
          <w:rFonts w:asciiTheme="majorHAnsi" w:hAnsiTheme="majorHAnsi"/>
          <w:i/>
          <w:iCs/>
          <w:sz w:val="22"/>
          <w:szCs w:val="22"/>
        </w:rPr>
        <w:t>Obiter</w:t>
      </w:r>
      <w:r w:rsidRPr="00D23A1A">
        <w:rPr>
          <w:rFonts w:asciiTheme="majorHAnsi" w:hAnsiTheme="majorHAnsi"/>
          <w:sz w:val="22"/>
          <w:szCs w:val="22"/>
        </w:rPr>
        <w:t xml:space="preserve"> (2012, vol 3)</w:t>
      </w:r>
      <w:r w:rsidR="00E95FC4">
        <w:rPr>
          <w:rFonts w:asciiTheme="majorHAnsi" w:hAnsiTheme="majorHAnsi"/>
          <w:sz w:val="22"/>
          <w:szCs w:val="22"/>
        </w:rPr>
        <w:t xml:space="preserve"> 203-235</w:t>
      </w:r>
      <w:r w:rsidRPr="00D23A1A">
        <w:rPr>
          <w:rFonts w:asciiTheme="majorHAnsi" w:hAnsiTheme="majorHAnsi"/>
          <w:sz w:val="22"/>
          <w:szCs w:val="22"/>
        </w:rPr>
        <w:t>;</w:t>
      </w:r>
    </w:p>
    <w:p w14:paraId="6A09F99F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lastRenderedPageBreak/>
        <w:t xml:space="preserve">Kruger and Govindjee “The recognition of unenumerated rights in South Africa”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SA Public Law </w:t>
      </w:r>
      <w:r w:rsidRPr="00D23A1A">
        <w:rPr>
          <w:rFonts w:asciiTheme="majorHAnsi" w:hAnsiTheme="majorHAnsi"/>
          <w:sz w:val="22"/>
          <w:szCs w:val="22"/>
        </w:rPr>
        <w:t xml:space="preserve"> (2012, vol 27(1)) 192-206;</w:t>
      </w:r>
    </w:p>
    <w:p w14:paraId="1BBA28D3" w14:textId="6C0A786A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A and Dupper, OC “Constitutional perspectives on unemployment security and a right to work in South Africa” published in a special edition of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Stellenbosch Law Review </w:t>
      </w:r>
      <w:r w:rsidRPr="00D23A1A">
        <w:rPr>
          <w:rFonts w:asciiTheme="majorHAnsi" w:hAnsiTheme="majorHAnsi"/>
          <w:sz w:val="22"/>
          <w:szCs w:val="22"/>
        </w:rPr>
        <w:t>(2011, vol 3)</w:t>
      </w:r>
      <w:r w:rsidR="00AF12C6">
        <w:rPr>
          <w:rFonts w:asciiTheme="majorHAnsi" w:hAnsiTheme="majorHAnsi"/>
          <w:sz w:val="22"/>
          <w:szCs w:val="22"/>
        </w:rPr>
        <w:t xml:space="preserve"> 775-803</w:t>
      </w:r>
      <w:r w:rsidRPr="00D23A1A">
        <w:rPr>
          <w:rFonts w:asciiTheme="majorHAnsi" w:hAnsiTheme="majorHAnsi"/>
          <w:sz w:val="22"/>
          <w:szCs w:val="22"/>
        </w:rPr>
        <w:t>;</w:t>
      </w:r>
    </w:p>
    <w:p w14:paraId="4FBCD4E2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“Assisting the unemployed in the absence of a legal framework: The next frontier for the Eastern Cape Bench?”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Speculum Juris </w:t>
      </w:r>
      <w:r w:rsidRPr="00D23A1A">
        <w:rPr>
          <w:rFonts w:asciiTheme="majorHAnsi" w:hAnsiTheme="majorHAnsi"/>
          <w:sz w:val="22"/>
          <w:szCs w:val="22"/>
        </w:rPr>
        <w:t>(2011, vol 25(1)) 86;</w:t>
      </w:r>
    </w:p>
    <w:p w14:paraId="1A3FBEB7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Olivier, MP, Dupper, O and Govindjee, A “Redesigning the South African Unemployment Insurance Find: Selected key policy and legal perspectives” </w:t>
      </w:r>
      <w:r w:rsidRPr="00D23A1A">
        <w:rPr>
          <w:rFonts w:asciiTheme="majorHAnsi" w:hAnsiTheme="majorHAnsi"/>
          <w:i/>
          <w:iCs/>
          <w:sz w:val="22"/>
          <w:szCs w:val="22"/>
        </w:rPr>
        <w:t>Stellenbosch Law Review</w:t>
      </w:r>
      <w:r w:rsidRPr="00D23A1A">
        <w:rPr>
          <w:rFonts w:asciiTheme="majorHAnsi" w:hAnsiTheme="majorHAnsi"/>
          <w:sz w:val="22"/>
          <w:szCs w:val="22"/>
        </w:rPr>
        <w:t xml:space="preserve"> (2011, vol 2, 396-425);</w:t>
      </w:r>
    </w:p>
    <w:p w14:paraId="1A843971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A, Olivier, MP and Dupper, O “Activation in the context of the unemployment insurance system in South Africa”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Stellenbosch Law Review </w:t>
      </w:r>
      <w:r w:rsidRPr="00D23A1A">
        <w:rPr>
          <w:rFonts w:asciiTheme="majorHAnsi" w:hAnsiTheme="majorHAnsi"/>
          <w:sz w:val="22"/>
          <w:szCs w:val="22"/>
        </w:rPr>
        <w:t>(2011, vol 1, 205-227);</w:t>
      </w:r>
    </w:p>
    <w:p w14:paraId="5D9C580D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Dupper, O, Olivier, MP and Govindjee, A “Extending coverage of the unemployment insurance system in South Africa”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Stellenbosch Law Review </w:t>
      </w:r>
      <w:r w:rsidRPr="00D23A1A">
        <w:rPr>
          <w:rFonts w:asciiTheme="majorHAnsi" w:hAnsiTheme="majorHAnsi"/>
          <w:sz w:val="22"/>
          <w:szCs w:val="22"/>
        </w:rPr>
        <w:t>(2010, vol 3, 438-462);</w:t>
      </w:r>
    </w:p>
    <w:p w14:paraId="51EAC6CF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Govindjee and van der Walt “’True’ jurisdictional questions and the irrelevance of a certificate of outcome: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Bombardier Transportation (Pty) Ltd v Mtiya NO and others</w:t>
      </w:r>
      <w:r w:rsidRPr="00D23A1A">
        <w:rPr>
          <w:rFonts w:asciiTheme="majorHAnsi" w:hAnsiTheme="majorHAnsi"/>
          <w:sz w:val="22"/>
          <w:szCs w:val="22"/>
        </w:rPr>
        <w:t>”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Obiter</w:t>
      </w:r>
      <w:r w:rsidRPr="00D23A1A">
        <w:rPr>
          <w:rFonts w:asciiTheme="majorHAnsi" w:hAnsiTheme="majorHAnsi"/>
          <w:sz w:val="22"/>
          <w:szCs w:val="22"/>
        </w:rPr>
        <w:t xml:space="preserve"> vol 31, no. 2 (2010) 486-495;</w:t>
      </w:r>
    </w:p>
    <w:p w14:paraId="36D9D61B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Malherbe and Govindjee “A question of blood: Constitutional perspectives on medical decision-making for children of Jehovah’s Witnesses” </w:t>
      </w:r>
      <w:r w:rsidRPr="00D23A1A">
        <w:rPr>
          <w:rFonts w:asciiTheme="majorHAnsi" w:hAnsiTheme="majorHAnsi"/>
          <w:i/>
          <w:iCs/>
          <w:sz w:val="22"/>
          <w:szCs w:val="22"/>
        </w:rPr>
        <w:t>THRHR</w:t>
      </w:r>
      <w:r w:rsidRPr="00D23A1A">
        <w:rPr>
          <w:rFonts w:asciiTheme="majorHAnsi" w:hAnsiTheme="majorHAnsi"/>
          <w:sz w:val="22"/>
          <w:szCs w:val="22"/>
        </w:rPr>
        <w:t xml:space="preserve"> vol 73, no. 1 (Feb 2010) 61 - 80;</w:t>
      </w:r>
    </w:p>
    <w:p w14:paraId="5DF79AA8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Mpedi and Govindjee “Social protection for workers posted to and from South Africa: A critical assessment” </w:t>
      </w:r>
      <w:r w:rsidRPr="00D23A1A">
        <w:rPr>
          <w:rFonts w:asciiTheme="majorHAnsi" w:hAnsiTheme="majorHAnsi"/>
          <w:i/>
          <w:iCs/>
          <w:sz w:val="22"/>
          <w:szCs w:val="22"/>
        </w:rPr>
        <w:t>Obiter</w:t>
      </w:r>
      <w:r w:rsidRPr="00D23A1A">
        <w:rPr>
          <w:rFonts w:asciiTheme="majorHAnsi" w:hAnsiTheme="majorHAnsi"/>
          <w:sz w:val="22"/>
          <w:szCs w:val="22"/>
        </w:rPr>
        <w:t xml:space="preserve"> vol 30, no. 3 (2009) 774 - 783;</w:t>
      </w:r>
    </w:p>
    <w:p w14:paraId="7EF4F87E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Van Loggerenberg and Govindjee  “Constitutional implications of the restrictions imposed by the South African Golf Association on non-amateur golfers”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Speculum Juris </w:t>
      </w:r>
      <w:r w:rsidRPr="00D23A1A">
        <w:rPr>
          <w:rFonts w:asciiTheme="majorHAnsi" w:hAnsiTheme="majorHAnsi"/>
          <w:sz w:val="22"/>
          <w:szCs w:val="22"/>
        </w:rPr>
        <w:t>vol 22, no. 2 (2008) 75 – 89;</w:t>
      </w:r>
    </w:p>
    <w:p w14:paraId="16EDF555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van der Walt “Employment without rights? </w:t>
      </w:r>
      <w:r w:rsidRPr="00D23A1A">
        <w:rPr>
          <w:rFonts w:asciiTheme="majorHAnsi" w:hAnsiTheme="majorHAnsi"/>
          <w:i/>
          <w:iCs/>
          <w:sz w:val="22"/>
          <w:szCs w:val="22"/>
        </w:rPr>
        <w:t>Discovery Health Limited v CCMA</w:t>
      </w:r>
      <w:r w:rsidRPr="00D23A1A">
        <w:rPr>
          <w:rFonts w:asciiTheme="majorHAnsi" w:hAnsiTheme="majorHAnsi"/>
          <w:sz w:val="22"/>
          <w:szCs w:val="22"/>
        </w:rPr>
        <w:t xml:space="preserve"> 2008 7 BLLR 633 (LC); and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“Kylie” v CCMA </w:t>
      </w:r>
      <w:r w:rsidRPr="00D23A1A">
        <w:rPr>
          <w:rFonts w:asciiTheme="majorHAnsi" w:hAnsiTheme="majorHAnsi"/>
          <w:sz w:val="22"/>
          <w:szCs w:val="22"/>
        </w:rPr>
        <w:t xml:space="preserve">2008 9 BLLR 870 (LC)” </w:t>
      </w:r>
      <w:r w:rsidRPr="00D23A1A">
        <w:rPr>
          <w:rFonts w:asciiTheme="majorHAnsi" w:hAnsiTheme="majorHAnsi"/>
          <w:i/>
          <w:iCs/>
          <w:sz w:val="22"/>
          <w:szCs w:val="22"/>
        </w:rPr>
        <w:t>Obiter</w:t>
      </w:r>
      <w:r w:rsidRPr="00D23A1A">
        <w:rPr>
          <w:rFonts w:asciiTheme="majorHAnsi" w:hAnsiTheme="majorHAnsi"/>
          <w:sz w:val="22"/>
          <w:szCs w:val="22"/>
        </w:rPr>
        <w:t xml:space="preserve"> vol 29, no. 3 (2008) 542 – 557;</w:t>
      </w:r>
    </w:p>
    <w:p w14:paraId="41E98596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Holness and Govindjee “The realization of the constitutional right to food in South Africa” </w:t>
      </w:r>
      <w:r w:rsidRPr="00D23A1A">
        <w:rPr>
          <w:rFonts w:asciiTheme="majorHAnsi" w:hAnsiTheme="majorHAnsi"/>
          <w:i/>
          <w:iCs/>
          <w:sz w:val="22"/>
          <w:szCs w:val="22"/>
        </w:rPr>
        <w:t>De Jure</w:t>
      </w:r>
      <w:r w:rsidRPr="00D23A1A">
        <w:rPr>
          <w:rFonts w:asciiTheme="majorHAnsi" w:hAnsiTheme="majorHAnsi"/>
          <w:sz w:val="22"/>
          <w:szCs w:val="22"/>
        </w:rPr>
        <w:t xml:space="preserve"> vol 3 (2008) 524 – 544;</w:t>
      </w:r>
    </w:p>
    <w:p w14:paraId="36B69ED0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Marx and Govindjee “Revisiting the interpretation of exemption clauses: </w:t>
      </w:r>
      <w:r w:rsidRPr="00D23A1A">
        <w:rPr>
          <w:rFonts w:asciiTheme="majorHAnsi" w:hAnsiTheme="majorHAnsi"/>
          <w:i/>
          <w:iCs/>
          <w:sz w:val="22"/>
          <w:szCs w:val="22"/>
        </w:rPr>
        <w:t>Drifters Adventure Tours CC v Hircock</w:t>
      </w:r>
      <w:r w:rsidRPr="00D23A1A">
        <w:rPr>
          <w:rFonts w:asciiTheme="majorHAnsi" w:hAnsiTheme="majorHAnsi"/>
          <w:sz w:val="22"/>
          <w:szCs w:val="22"/>
        </w:rPr>
        <w:t xml:space="preserve"> 2007 (2) SA 83 (SCA)” </w:t>
      </w:r>
      <w:r w:rsidRPr="00D23A1A">
        <w:rPr>
          <w:rFonts w:asciiTheme="majorHAnsi" w:hAnsiTheme="majorHAnsi"/>
          <w:i/>
          <w:iCs/>
          <w:sz w:val="22"/>
          <w:szCs w:val="22"/>
        </w:rPr>
        <w:t>Obiter</w:t>
      </w:r>
      <w:r w:rsidRPr="00D23A1A">
        <w:rPr>
          <w:rFonts w:asciiTheme="majorHAnsi" w:hAnsiTheme="majorHAnsi"/>
          <w:sz w:val="22"/>
          <w:szCs w:val="22"/>
        </w:rPr>
        <w:t xml:space="preserve"> vol 28, no. 3 (2007) 622 – 635;</w:t>
      </w:r>
    </w:p>
    <w:p w14:paraId="16F76ACE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“Of Nose studs, Beards and Issues of Discrimination” </w:t>
      </w:r>
      <w:r w:rsidRPr="00D23A1A">
        <w:rPr>
          <w:rFonts w:asciiTheme="majorHAnsi" w:hAnsiTheme="majorHAnsi"/>
          <w:i/>
          <w:iCs/>
          <w:sz w:val="22"/>
          <w:szCs w:val="22"/>
        </w:rPr>
        <w:t>Obiter</w:t>
      </w:r>
      <w:r w:rsidRPr="00D23A1A">
        <w:rPr>
          <w:rFonts w:asciiTheme="majorHAnsi" w:hAnsiTheme="majorHAnsi"/>
          <w:sz w:val="22"/>
          <w:szCs w:val="22"/>
        </w:rPr>
        <w:t xml:space="preserve"> vol. 28, no. 2 (2007) 357 - 373;</w:t>
      </w:r>
    </w:p>
    <w:p w14:paraId="2CC92120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A and Olivier, M “Finding the Balance: the role of the courts in giving effect to socio-economic rights in South Africa”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Speculum Juris </w:t>
      </w:r>
      <w:r w:rsidRPr="00D23A1A">
        <w:rPr>
          <w:rFonts w:asciiTheme="majorHAnsi" w:hAnsiTheme="majorHAnsi"/>
          <w:sz w:val="22"/>
          <w:szCs w:val="22"/>
        </w:rPr>
        <w:t>vol. 21, no. 2 (2007) 167 - 183;</w:t>
      </w:r>
    </w:p>
    <w:p w14:paraId="3B089C9F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“Lessons for South African Social Assistance Law from India:  Part I – The Ties That Bind:  The Indian Constitution and Reasons for Comparing South Africa with India”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Obiter </w:t>
      </w:r>
      <w:r w:rsidRPr="00D23A1A">
        <w:rPr>
          <w:rFonts w:asciiTheme="majorHAnsi" w:hAnsiTheme="majorHAnsi"/>
          <w:sz w:val="22"/>
          <w:szCs w:val="22"/>
        </w:rPr>
        <w:t>vol. 26, no. 3 (2005) 575 - 594;</w:t>
      </w:r>
    </w:p>
    <w:p w14:paraId="546D4AFD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“Lessons for South African Social Assistance Law from India:  Part II – Is There more to the Right to Life in South Africa?”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Obiter </w:t>
      </w:r>
      <w:r w:rsidRPr="00D23A1A">
        <w:rPr>
          <w:rFonts w:asciiTheme="majorHAnsi" w:hAnsiTheme="majorHAnsi"/>
          <w:sz w:val="22"/>
          <w:szCs w:val="22"/>
        </w:rPr>
        <w:t>vol. 27, no. 1 (2006) 33 – 48;</w:t>
      </w:r>
    </w:p>
    <w:p w14:paraId="7FE2B3D5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Govindjee and Ristow “</w:t>
      </w:r>
      <w:r w:rsidRPr="00D23A1A">
        <w:rPr>
          <w:rFonts w:asciiTheme="majorHAnsi" w:hAnsiTheme="majorHAnsi"/>
          <w:i/>
          <w:iCs/>
          <w:sz w:val="22"/>
          <w:szCs w:val="22"/>
        </w:rPr>
        <w:t>Khosa v Minister of Social Development; Mhlaule v Minister of Social Development</w:t>
      </w:r>
      <w:r w:rsidRPr="00D23A1A">
        <w:rPr>
          <w:rFonts w:asciiTheme="majorHAnsi" w:hAnsiTheme="majorHAnsi"/>
          <w:sz w:val="22"/>
          <w:szCs w:val="22"/>
        </w:rPr>
        <w:t xml:space="preserve">” </w:t>
      </w:r>
      <w:r w:rsidRPr="00D23A1A">
        <w:rPr>
          <w:rFonts w:asciiTheme="majorHAnsi" w:hAnsiTheme="majorHAnsi"/>
          <w:i/>
          <w:iCs/>
          <w:sz w:val="22"/>
          <w:szCs w:val="22"/>
        </w:rPr>
        <w:t>Speculum Juris</w:t>
      </w:r>
      <w:r w:rsidRPr="00D23A1A">
        <w:rPr>
          <w:rFonts w:asciiTheme="majorHAnsi" w:hAnsiTheme="majorHAnsi"/>
          <w:sz w:val="22"/>
          <w:szCs w:val="22"/>
        </w:rPr>
        <w:t xml:space="preserve"> vol. 19, no. 1 (2005) 107 - 118;</w:t>
      </w:r>
    </w:p>
    <w:p w14:paraId="3719F01C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“The Constitutional Right of Access to Social Security Part I – Identifying the Problems”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Obiter </w:t>
      </w:r>
      <w:r w:rsidRPr="00D23A1A">
        <w:rPr>
          <w:rFonts w:asciiTheme="majorHAnsi" w:hAnsiTheme="majorHAnsi"/>
          <w:sz w:val="22"/>
          <w:szCs w:val="22"/>
        </w:rPr>
        <w:t>vol. 24, no.1 (2003) 87 – 102;</w:t>
      </w:r>
    </w:p>
    <w:p w14:paraId="791D3437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lastRenderedPageBreak/>
        <w:t xml:space="preserve">Govindjee “The Constitutional Right of Access to Social Security Part II – Proposed Solutions”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Obiter </w:t>
      </w:r>
      <w:r w:rsidRPr="00D23A1A">
        <w:rPr>
          <w:rFonts w:asciiTheme="majorHAnsi" w:hAnsiTheme="majorHAnsi"/>
          <w:sz w:val="22"/>
          <w:szCs w:val="22"/>
        </w:rPr>
        <w:t>vol. 25, no. 1 (2004) 57 – 78;</w:t>
      </w:r>
    </w:p>
    <w:p w14:paraId="70691E35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Ristow and Govindjee “Sexual Harrassment as a Form of Unfair Discrimination:  </w:t>
      </w:r>
      <w:r w:rsidRPr="00D23A1A">
        <w:rPr>
          <w:rFonts w:asciiTheme="majorHAnsi" w:hAnsiTheme="majorHAnsi"/>
          <w:i/>
          <w:iCs/>
          <w:sz w:val="22"/>
          <w:szCs w:val="22"/>
        </w:rPr>
        <w:t>Ntsabo v Real Security</w:t>
      </w:r>
      <w:r w:rsidRPr="00D23A1A">
        <w:rPr>
          <w:rFonts w:asciiTheme="majorHAnsi" w:hAnsiTheme="majorHAnsi"/>
          <w:sz w:val="22"/>
          <w:szCs w:val="22"/>
        </w:rPr>
        <w:t xml:space="preserve">” </w:t>
      </w:r>
      <w:r w:rsidRPr="00D23A1A">
        <w:rPr>
          <w:rFonts w:asciiTheme="majorHAnsi" w:hAnsiTheme="majorHAnsi"/>
          <w:i/>
          <w:iCs/>
          <w:sz w:val="22"/>
          <w:szCs w:val="22"/>
        </w:rPr>
        <w:t>Speculum Juris</w:t>
      </w:r>
      <w:r w:rsidRPr="00D23A1A">
        <w:rPr>
          <w:rFonts w:asciiTheme="majorHAnsi" w:hAnsiTheme="majorHAnsi"/>
          <w:sz w:val="22"/>
          <w:szCs w:val="22"/>
        </w:rPr>
        <w:t xml:space="preserve"> vol. 18, no. 1 (2004) 146 – 152.</w:t>
      </w:r>
    </w:p>
    <w:p w14:paraId="0BB8DDC1" w14:textId="77777777" w:rsidR="00EC60CA" w:rsidRPr="00D23A1A" w:rsidRDefault="00EC60CA" w:rsidP="00D23A1A">
      <w:pPr>
        <w:spacing w:line="276" w:lineRule="auto"/>
        <w:jc w:val="both"/>
        <w:rPr>
          <w:rFonts w:asciiTheme="majorHAnsi" w:eastAsia="Trebuchet MS" w:hAnsiTheme="majorHAnsi" w:cs="Trebuchet MS"/>
          <w:sz w:val="22"/>
          <w:szCs w:val="22"/>
        </w:rPr>
      </w:pPr>
    </w:p>
    <w:p w14:paraId="4E1FEA63" w14:textId="3BB3A9BF" w:rsidR="00EC60CA" w:rsidRPr="00D23A1A" w:rsidRDefault="00091E04" w:rsidP="00D23A1A">
      <w:pPr>
        <w:pStyle w:val="Heading1"/>
        <w:widowControl/>
        <w:spacing w:line="276" w:lineRule="auto"/>
        <w:jc w:val="both"/>
        <w:rPr>
          <w:rFonts w:asciiTheme="majorHAnsi" w:eastAsia="Trebuchet MS" w:hAnsiTheme="majorHAnsi" w:cs="Trebuchet MS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 xml:space="preserve">Published </w:t>
      </w:r>
      <w:r w:rsidR="007B008D" w:rsidRPr="00D23A1A">
        <w:rPr>
          <w:rFonts w:asciiTheme="majorHAnsi" w:hAnsiTheme="majorHAnsi"/>
          <w:b/>
          <w:bCs/>
          <w:i/>
          <w:iCs/>
          <w:sz w:val="22"/>
          <w:szCs w:val="22"/>
        </w:rPr>
        <w:t>Conference Proceedings</w:t>
      </w:r>
      <w:r w:rsidR="00121209" w:rsidRPr="00D23A1A">
        <w:rPr>
          <w:rFonts w:asciiTheme="majorHAnsi" w:hAnsiTheme="majorHAnsi"/>
          <w:b/>
          <w:bCs/>
          <w:i/>
          <w:iCs/>
          <w:sz w:val="22"/>
          <w:szCs w:val="22"/>
        </w:rPr>
        <w:t>,</w:t>
      </w:r>
      <w:r w:rsidR="007B008D" w:rsidRPr="00D23A1A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i/>
          <w:iCs/>
          <w:sz w:val="22"/>
          <w:szCs w:val="22"/>
        </w:rPr>
        <w:t xml:space="preserve">Other </w:t>
      </w:r>
      <w:r w:rsidR="007B008D" w:rsidRPr="00D23A1A">
        <w:rPr>
          <w:rFonts w:asciiTheme="majorHAnsi" w:hAnsiTheme="majorHAnsi"/>
          <w:b/>
          <w:bCs/>
          <w:i/>
          <w:iCs/>
          <w:sz w:val="22"/>
          <w:szCs w:val="22"/>
        </w:rPr>
        <w:t xml:space="preserve">Publications and </w:t>
      </w:r>
      <w:r>
        <w:rPr>
          <w:rFonts w:asciiTheme="majorHAnsi" w:hAnsiTheme="majorHAnsi"/>
          <w:b/>
          <w:bCs/>
          <w:i/>
          <w:iCs/>
          <w:sz w:val="22"/>
          <w:szCs w:val="22"/>
        </w:rPr>
        <w:t>Commentaries</w:t>
      </w:r>
    </w:p>
    <w:p w14:paraId="227140B2" w14:textId="76CAA810" w:rsidR="00091E04" w:rsidRPr="00D23A1A" w:rsidRDefault="00091E04" w:rsidP="00091E04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D23A1A">
        <w:rPr>
          <w:rFonts w:asciiTheme="majorHAnsi" w:hAnsiTheme="majorHAnsi" w:cs="Times New Roman"/>
          <w:color w:val="auto"/>
          <w:sz w:val="22"/>
          <w:szCs w:val="22"/>
        </w:rPr>
        <w:t xml:space="preserve">Olivier &amp; Govindjee “Constitutional reflections on social protection for vulnerable workers and the unemployed: Perspectives from India and South Africa” in </w:t>
      </w:r>
      <w:r w:rsidR="00257100">
        <w:rPr>
          <w:rFonts w:asciiTheme="majorHAnsi" w:hAnsiTheme="majorHAnsi" w:cs="Times New Roman"/>
          <w:color w:val="auto"/>
          <w:sz w:val="22"/>
          <w:szCs w:val="22"/>
        </w:rPr>
        <w:t xml:space="preserve">Addabbo </w:t>
      </w:r>
      <w:r w:rsidR="00257100">
        <w:rPr>
          <w:rFonts w:asciiTheme="majorHAnsi" w:hAnsiTheme="majorHAnsi" w:cs="Times New Roman"/>
          <w:i/>
          <w:color w:val="auto"/>
          <w:sz w:val="22"/>
          <w:szCs w:val="22"/>
        </w:rPr>
        <w:t>et al</w:t>
      </w:r>
      <w:r w:rsidRPr="00D23A1A">
        <w:rPr>
          <w:rFonts w:asciiTheme="majorHAnsi" w:hAnsiTheme="majorHAnsi" w:cs="Times New Roman"/>
          <w:color w:val="auto"/>
          <w:sz w:val="22"/>
          <w:szCs w:val="22"/>
        </w:rPr>
        <w:t xml:space="preserve"> (ed</w:t>
      </w:r>
      <w:r w:rsidR="00257100">
        <w:rPr>
          <w:rFonts w:asciiTheme="majorHAnsi" w:hAnsiTheme="majorHAnsi" w:cs="Times New Roman"/>
          <w:color w:val="auto"/>
          <w:sz w:val="22"/>
          <w:szCs w:val="22"/>
        </w:rPr>
        <w:t>s</w:t>
      </w:r>
      <w:r w:rsidRPr="00D23A1A">
        <w:rPr>
          <w:rFonts w:asciiTheme="majorHAnsi" w:hAnsiTheme="majorHAnsi" w:cs="Times New Roman"/>
          <w:color w:val="auto"/>
          <w:sz w:val="22"/>
          <w:szCs w:val="22"/>
        </w:rPr>
        <w:t>)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i/>
          <w:color w:val="auto"/>
          <w:sz w:val="22"/>
          <w:szCs w:val="22"/>
        </w:rPr>
        <w:t>Labour and social rights: An evolving scenario</w:t>
      </w:r>
      <w:r w:rsidRPr="00D23A1A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auto"/>
          <w:sz w:val="22"/>
          <w:szCs w:val="22"/>
        </w:rPr>
        <w:t>(Proceedings of the Twelfth International Conference in Commemoration of Prof Marco Biagi) (Giappichelli Publishers, Turin, 2015</w:t>
      </w:r>
      <w:r w:rsidRPr="00D23A1A">
        <w:rPr>
          <w:rFonts w:asciiTheme="majorHAnsi" w:hAnsiTheme="majorHAnsi" w:cs="Times New Roman"/>
          <w:color w:val="auto"/>
          <w:sz w:val="22"/>
          <w:szCs w:val="22"/>
        </w:rPr>
        <w:t>);</w:t>
      </w:r>
    </w:p>
    <w:p w14:paraId="0405E0BD" w14:textId="183D62E8" w:rsidR="00296005" w:rsidRPr="00D23A1A" w:rsidRDefault="00296005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>Govindjee “Youth job creation in the context of BRICS: The South African experience” submitted for publication to the Journal for Public Policy (India, 2014);</w:t>
      </w:r>
    </w:p>
    <w:p w14:paraId="328885FC" w14:textId="2FC6CAB3" w:rsidR="00C82ABF" w:rsidRPr="00D23A1A" w:rsidRDefault="00E43D7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eastAsia="Trebuchet MS" w:hAnsiTheme="majorHAnsi" w:cs="Trebuchet MS"/>
          <w:sz w:val="22"/>
          <w:szCs w:val="22"/>
        </w:rPr>
        <w:t>Govindjee “Social safety</w:t>
      </w:r>
      <w:r w:rsidR="006653DB" w:rsidRPr="00D23A1A">
        <w:rPr>
          <w:rFonts w:asciiTheme="majorHAnsi" w:eastAsia="Trebuchet MS" w:hAnsiTheme="majorHAnsi" w:cs="Trebuchet MS"/>
          <w:sz w:val="22"/>
          <w:szCs w:val="22"/>
        </w:rPr>
        <w:t xml:space="preserve"> nets and youth job creation: The </w:t>
      </w:r>
      <w:r w:rsidRPr="00D23A1A">
        <w:rPr>
          <w:rFonts w:asciiTheme="majorHAnsi" w:eastAsia="Trebuchet MS" w:hAnsiTheme="majorHAnsi" w:cs="Trebuchet MS"/>
          <w:sz w:val="22"/>
          <w:szCs w:val="22"/>
        </w:rPr>
        <w:t>South Africa</w:t>
      </w:r>
      <w:r w:rsidR="006653DB" w:rsidRPr="00D23A1A">
        <w:rPr>
          <w:rFonts w:asciiTheme="majorHAnsi" w:eastAsia="Trebuchet MS" w:hAnsiTheme="majorHAnsi" w:cs="Trebuchet MS"/>
          <w:sz w:val="22"/>
          <w:szCs w:val="22"/>
        </w:rPr>
        <w:t xml:space="preserve"> Case</w:t>
      </w:r>
      <w:r w:rsidRPr="00D23A1A">
        <w:rPr>
          <w:rFonts w:asciiTheme="majorHAnsi" w:eastAsia="Trebuchet MS" w:hAnsiTheme="majorHAnsi" w:cs="Trebuchet MS"/>
          <w:sz w:val="22"/>
          <w:szCs w:val="22"/>
        </w:rPr>
        <w:t xml:space="preserve">” in </w:t>
      </w:r>
      <w:r w:rsidRPr="00D23A1A">
        <w:rPr>
          <w:rFonts w:asciiTheme="majorHAnsi" w:eastAsia="Trebuchet MS" w:hAnsiTheme="majorHAnsi" w:cs="Trebuchet MS"/>
          <w:i/>
          <w:sz w:val="22"/>
          <w:szCs w:val="22"/>
        </w:rPr>
        <w:t>Poverty in Focus</w:t>
      </w:r>
      <w:r w:rsidR="006653DB" w:rsidRPr="00D23A1A">
        <w:rPr>
          <w:rFonts w:asciiTheme="majorHAnsi" w:eastAsia="Trebuchet MS" w:hAnsiTheme="majorHAnsi" w:cs="Trebuchet MS"/>
          <w:i/>
          <w:sz w:val="22"/>
          <w:szCs w:val="22"/>
        </w:rPr>
        <w:t xml:space="preserve"> </w:t>
      </w:r>
      <w:r w:rsidR="006653DB" w:rsidRPr="00D23A1A">
        <w:rPr>
          <w:rFonts w:asciiTheme="majorHAnsi" w:eastAsia="Trebuchet MS" w:hAnsiTheme="majorHAnsi" w:cs="Trebuchet MS"/>
          <w:sz w:val="22"/>
          <w:szCs w:val="22"/>
        </w:rPr>
        <w:t>(a publication of the Institute of Applied Economic Research (the official Brazilian think-tank of BRICS) and the IPC-IG/UNDP) (2014)</w:t>
      </w:r>
      <w:r w:rsidR="00E716A3" w:rsidRPr="00D23A1A">
        <w:rPr>
          <w:rFonts w:asciiTheme="majorHAnsi" w:eastAsia="Trebuchet MS" w:hAnsiTheme="majorHAnsi" w:cs="Trebuchet MS"/>
          <w:sz w:val="22"/>
          <w:szCs w:val="22"/>
        </w:rPr>
        <w:t xml:space="preserve"> (accessible at http://issuu.com/ipc-ig_publications/docs/pif_brics_28_web)</w:t>
      </w:r>
      <w:r w:rsidR="006653DB" w:rsidRPr="00D23A1A">
        <w:rPr>
          <w:rFonts w:asciiTheme="majorHAnsi" w:eastAsia="Trebuchet MS" w:hAnsiTheme="majorHAnsi" w:cs="Trebuchet MS"/>
          <w:sz w:val="22"/>
          <w:szCs w:val="22"/>
        </w:rPr>
        <w:t>;</w:t>
      </w:r>
    </w:p>
    <w:p w14:paraId="396FB76D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Olivier and Govindjee </w:t>
      </w:r>
      <w:r w:rsidRPr="00D23A1A">
        <w:rPr>
          <w:rFonts w:asciiTheme="majorHAnsi" w:hAnsiTheme="majorHAnsi"/>
          <w:i/>
          <w:iCs/>
          <w:sz w:val="22"/>
          <w:szCs w:val="22"/>
        </w:rPr>
        <w:t>Comments on the Unemployment Insurance Bill</w:t>
      </w:r>
      <w:r w:rsidRPr="00D23A1A">
        <w:rPr>
          <w:rFonts w:asciiTheme="majorHAnsi" w:hAnsiTheme="majorHAnsi"/>
          <w:sz w:val="22"/>
          <w:szCs w:val="22"/>
        </w:rPr>
        <w:t xml:space="preserve"> (submitted to the Department of Labour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D23A1A">
        <w:rPr>
          <w:rFonts w:asciiTheme="majorHAnsi" w:hAnsiTheme="majorHAnsi"/>
          <w:sz w:val="22"/>
          <w:szCs w:val="22"/>
        </w:rPr>
        <w:t>(August 2013);</w:t>
      </w:r>
    </w:p>
    <w:p w14:paraId="77DAD2AB" w14:textId="056E79CE" w:rsidR="00121209" w:rsidRPr="00D23A1A" w:rsidRDefault="00121209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Govindjee, Arbitrator </w:t>
      </w:r>
      <w:r w:rsidRPr="00D23A1A">
        <w:rPr>
          <w:rFonts w:asciiTheme="majorHAnsi" w:hAnsiTheme="majorHAnsi"/>
          <w:i/>
          <w:sz w:val="22"/>
          <w:szCs w:val="22"/>
        </w:rPr>
        <w:t>National Union of Metalworkers of SA obo Johnson and Trident Steel (Pty) Ltd</w:t>
      </w:r>
      <w:r w:rsidRPr="00D23A1A">
        <w:rPr>
          <w:rFonts w:asciiTheme="majorHAnsi" w:hAnsiTheme="majorHAnsi"/>
          <w:sz w:val="22"/>
          <w:szCs w:val="22"/>
        </w:rPr>
        <w:t xml:space="preserve"> Bargaining Council Arbitration Award published in (2013) 34 </w:t>
      </w:r>
      <w:r w:rsidRPr="00D23A1A">
        <w:rPr>
          <w:rFonts w:asciiTheme="majorHAnsi" w:hAnsiTheme="majorHAnsi"/>
          <w:i/>
          <w:sz w:val="22"/>
          <w:szCs w:val="22"/>
        </w:rPr>
        <w:t>ILJ</w:t>
      </w:r>
      <w:r w:rsidRPr="00D23A1A">
        <w:rPr>
          <w:rFonts w:asciiTheme="majorHAnsi" w:hAnsiTheme="majorHAnsi"/>
          <w:sz w:val="22"/>
          <w:szCs w:val="22"/>
        </w:rPr>
        <w:t xml:space="preserve"> 455 (BCA).</w:t>
      </w:r>
    </w:p>
    <w:p w14:paraId="0DDC93D0" w14:textId="4C9E7D2F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“Adjudication of socio-economic rights by the Constitutional Court of South Africa: Walking the tightrope between activism and deference?” accepted for publication in the </w:t>
      </w:r>
      <w:r w:rsidRPr="00D23A1A">
        <w:rPr>
          <w:rFonts w:asciiTheme="majorHAnsi" w:hAnsiTheme="majorHAnsi"/>
          <w:i/>
          <w:iCs/>
          <w:sz w:val="22"/>
          <w:szCs w:val="22"/>
        </w:rPr>
        <w:t>National Law School of India Review</w:t>
      </w:r>
      <w:r w:rsidRPr="00D23A1A">
        <w:rPr>
          <w:rFonts w:asciiTheme="majorHAnsi" w:hAnsiTheme="majorHAnsi"/>
          <w:sz w:val="22"/>
          <w:szCs w:val="22"/>
        </w:rPr>
        <w:t xml:space="preserve"> (20</w:t>
      </w:r>
      <w:r w:rsidR="00924CCC" w:rsidRPr="00D23A1A">
        <w:rPr>
          <w:rFonts w:asciiTheme="majorHAnsi" w:hAnsiTheme="majorHAnsi"/>
          <w:sz w:val="22"/>
          <w:szCs w:val="22"/>
        </w:rPr>
        <w:t>13) (62-80)</w:t>
      </w:r>
      <w:r w:rsidRPr="00D23A1A">
        <w:rPr>
          <w:rFonts w:asciiTheme="majorHAnsi" w:hAnsiTheme="majorHAnsi"/>
          <w:sz w:val="22"/>
          <w:szCs w:val="22"/>
        </w:rPr>
        <w:t>;</w:t>
      </w:r>
    </w:p>
    <w:p w14:paraId="621F436A" w14:textId="79AF4A39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Olivier, Govindjee and Nyenti </w:t>
      </w:r>
      <w:r w:rsidRPr="00D23A1A">
        <w:rPr>
          <w:rFonts w:asciiTheme="majorHAnsi" w:hAnsiTheme="majorHAnsi"/>
          <w:i/>
          <w:iCs/>
          <w:sz w:val="22"/>
          <w:szCs w:val="22"/>
        </w:rPr>
        <w:t>Return-to-work in South Africa and Malaysia</w:t>
      </w:r>
      <w:r w:rsidR="00237E42" w:rsidRPr="00D23A1A">
        <w:rPr>
          <w:rFonts w:asciiTheme="majorHAnsi" w:hAnsiTheme="majorHAnsi"/>
          <w:sz w:val="22"/>
          <w:szCs w:val="22"/>
        </w:rPr>
        <w:t xml:space="preserve"> in </w:t>
      </w:r>
      <w:r w:rsidRPr="00D23A1A">
        <w:rPr>
          <w:rFonts w:asciiTheme="majorHAnsi" w:hAnsiTheme="majorHAnsi"/>
          <w:i/>
          <w:sz w:val="22"/>
          <w:szCs w:val="22"/>
        </w:rPr>
        <w:t>International Journal for Social Security and Workers’ Compensation</w:t>
      </w:r>
      <w:r w:rsidR="00237E42" w:rsidRPr="00D23A1A">
        <w:rPr>
          <w:rFonts w:asciiTheme="majorHAnsi" w:hAnsiTheme="majorHAnsi"/>
          <w:sz w:val="22"/>
          <w:szCs w:val="22"/>
        </w:rPr>
        <w:t>) (vol 4(1)) (2013) 9-39</w:t>
      </w:r>
      <w:r w:rsidRPr="00D23A1A">
        <w:rPr>
          <w:rFonts w:asciiTheme="majorHAnsi" w:hAnsiTheme="majorHAnsi"/>
          <w:sz w:val="22"/>
          <w:szCs w:val="22"/>
        </w:rPr>
        <w:t>;</w:t>
      </w:r>
    </w:p>
    <w:p w14:paraId="646A23D4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“Canned lion hunting” in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Afe Babola University Law Review </w:t>
      </w:r>
      <w:r w:rsidRPr="00D23A1A">
        <w:rPr>
          <w:rFonts w:asciiTheme="majorHAnsi" w:hAnsiTheme="majorHAnsi"/>
          <w:sz w:val="22"/>
          <w:szCs w:val="22"/>
        </w:rPr>
        <w:t>(vol 1, no. 1) (2013) 36-50;</w:t>
      </w:r>
    </w:p>
    <w:p w14:paraId="56ED728D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Govindjee and Kruger “A question of interpretation: A comparative study of ‘unenumerated’ rights recognition in India and South Africa” published in a special edition of the Journal of the ILS Law College, Pune, India (2011 IV published during 2013);</w:t>
      </w:r>
    </w:p>
    <w:p w14:paraId="6E5072B2" w14:textId="472307B1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Govindjee “Legal strategies for a ‘second phase’ transition in South Africa” (Publication of Inaugural Lecture) (NMMU)</w:t>
      </w:r>
      <w:r w:rsidR="00237E42" w:rsidRPr="00D23A1A">
        <w:rPr>
          <w:rFonts w:asciiTheme="majorHAnsi" w:hAnsiTheme="majorHAnsi"/>
          <w:sz w:val="22"/>
          <w:szCs w:val="22"/>
        </w:rPr>
        <w:t xml:space="preserve"> </w:t>
      </w:r>
      <w:r w:rsidRPr="00D23A1A">
        <w:rPr>
          <w:rFonts w:asciiTheme="majorHAnsi" w:hAnsiTheme="majorHAnsi"/>
          <w:sz w:val="22"/>
          <w:szCs w:val="22"/>
        </w:rPr>
        <w:t>(2012).</w:t>
      </w:r>
    </w:p>
    <w:p w14:paraId="1F4D10F3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“The role of the courts in addressing poverty, inequality and unemployment in South Africa” in </w:t>
      </w:r>
      <w:r w:rsidRPr="00D23A1A">
        <w:rPr>
          <w:rFonts w:asciiTheme="majorHAnsi" w:hAnsiTheme="majorHAnsi"/>
          <w:i/>
          <w:iCs/>
          <w:sz w:val="22"/>
          <w:szCs w:val="22"/>
        </w:rPr>
        <w:t>Socio-Legal Review</w:t>
      </w:r>
      <w:r w:rsidRPr="00D23A1A">
        <w:rPr>
          <w:rFonts w:asciiTheme="majorHAnsi" w:hAnsiTheme="majorHAnsi"/>
          <w:sz w:val="22"/>
          <w:szCs w:val="22"/>
        </w:rPr>
        <w:t xml:space="preserve"> (vol 8(2)) (2012) 55-77.</w:t>
      </w:r>
    </w:p>
    <w:p w14:paraId="6A8FFE89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Olivier, Kaseke, van der Heever and Govindjee “Social security law manual” (prepared for the Parliamentary Portfolio Committee on Social Development) (2012);</w:t>
      </w:r>
    </w:p>
    <w:p w14:paraId="3124B9D1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Mpedi, LG “The role of courts in shaping South African social policy” </w:t>
      </w:r>
      <w:r w:rsidRPr="00D23A1A">
        <w:rPr>
          <w:rFonts w:asciiTheme="majorHAnsi" w:hAnsiTheme="majorHAnsi"/>
          <w:i/>
          <w:iCs/>
          <w:sz w:val="22"/>
          <w:szCs w:val="22"/>
        </w:rPr>
        <w:t>University of Ibadan Law Journal</w:t>
      </w:r>
      <w:r w:rsidRPr="00D23A1A">
        <w:rPr>
          <w:rFonts w:asciiTheme="majorHAnsi" w:hAnsiTheme="majorHAnsi"/>
          <w:sz w:val="22"/>
          <w:szCs w:val="22"/>
        </w:rPr>
        <w:t xml:space="preserve"> (vol. 1, no. 1) (Oct 2011 but published in April 2012) 183-199;</w:t>
      </w:r>
    </w:p>
    <w:p w14:paraId="68F95DEA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Commissioned to draft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Law of Evidence </w:t>
      </w:r>
      <w:r w:rsidRPr="00D23A1A">
        <w:rPr>
          <w:rFonts w:asciiTheme="majorHAnsi" w:hAnsiTheme="majorHAnsi"/>
          <w:sz w:val="22"/>
          <w:szCs w:val="22"/>
        </w:rPr>
        <w:t>component of the CCMA Manual for Arbitration (2012);</w:t>
      </w:r>
    </w:p>
    <w:p w14:paraId="4194D5CA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Commissioned to draft Constitutional Law and Administrative Law manuals for the University of Fort Hare, (published by University of Fort Hare, 2012);</w:t>
      </w:r>
    </w:p>
    <w:p w14:paraId="05DA82EC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Taiwo “Justiciability and enforceability of fundamental objectives and directive principles in Nigeria: Lessons from South Africa and India” </w:t>
      </w:r>
      <w:r w:rsidRPr="00D23A1A">
        <w:rPr>
          <w:rFonts w:asciiTheme="majorHAnsi" w:hAnsiTheme="majorHAnsi"/>
          <w:i/>
          <w:iCs/>
          <w:sz w:val="22"/>
          <w:szCs w:val="22"/>
        </w:rPr>
        <w:t>Nigerian Bar Journal</w:t>
      </w:r>
      <w:r w:rsidRPr="00D23A1A">
        <w:rPr>
          <w:rFonts w:asciiTheme="majorHAnsi" w:hAnsiTheme="majorHAnsi"/>
          <w:sz w:val="22"/>
          <w:szCs w:val="22"/>
        </w:rPr>
        <w:t xml:space="preserve"> (2011) volume 7 65-101;</w:t>
      </w:r>
    </w:p>
    <w:p w14:paraId="2ADD57BA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lastRenderedPageBreak/>
        <w:t xml:space="preserve">Govindjee and Dupper “SA needs principled approach to defuse poverty crisis” in </w:t>
      </w:r>
      <w:r w:rsidRPr="00D23A1A">
        <w:rPr>
          <w:rFonts w:asciiTheme="majorHAnsi" w:hAnsiTheme="majorHAnsi"/>
          <w:i/>
          <w:iCs/>
          <w:sz w:val="22"/>
          <w:szCs w:val="22"/>
        </w:rPr>
        <w:t>Mail &amp; Guardian</w:t>
      </w:r>
      <w:r w:rsidRPr="00D23A1A">
        <w:rPr>
          <w:rFonts w:asciiTheme="majorHAnsi" w:hAnsiTheme="majorHAnsi"/>
          <w:sz w:val="22"/>
          <w:szCs w:val="22"/>
        </w:rPr>
        <w:t xml:space="preserve"> (22 July 2011, p 33); </w:t>
      </w:r>
    </w:p>
    <w:p w14:paraId="087B32B2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Taiwo and Govindjee “Religious and cultural practices in Nigerian schools: taking a clue from the South African concept of ‘reasonable accommodation’” submitted to the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Journal of Public and International Law </w:t>
      </w:r>
      <w:r w:rsidRPr="00D23A1A">
        <w:rPr>
          <w:rFonts w:asciiTheme="majorHAnsi" w:hAnsiTheme="majorHAnsi"/>
          <w:sz w:val="22"/>
          <w:szCs w:val="22"/>
        </w:rPr>
        <w:t>(University of Ibadan, Nigeria) (2011);</w:t>
      </w:r>
    </w:p>
    <w:p w14:paraId="79548C03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Olivier “Unlocking Labour Laws” column </w:t>
      </w:r>
      <w:r w:rsidRPr="00D23A1A">
        <w:rPr>
          <w:rFonts w:asciiTheme="majorHAnsi" w:hAnsiTheme="majorHAnsi"/>
          <w:i/>
          <w:iCs/>
          <w:sz w:val="22"/>
          <w:szCs w:val="22"/>
        </w:rPr>
        <w:t>South African Labour Bulletin</w:t>
      </w:r>
      <w:r w:rsidRPr="00D23A1A">
        <w:rPr>
          <w:rFonts w:asciiTheme="majorHAnsi" w:hAnsiTheme="majorHAnsi"/>
          <w:sz w:val="22"/>
          <w:szCs w:val="22"/>
        </w:rPr>
        <w:t>, Vol 33, No. 4 (October / November 2009) 18-19; Vol 34, No. 2 (June / July 2010) 18-19;</w:t>
      </w:r>
    </w:p>
    <w:p w14:paraId="3B8C3584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Contributor, “Legally Speaking” column in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EC Today </w:t>
      </w:r>
      <w:r w:rsidRPr="00D23A1A">
        <w:rPr>
          <w:rFonts w:asciiTheme="majorHAnsi" w:hAnsiTheme="majorHAnsi"/>
          <w:sz w:val="22"/>
          <w:szCs w:val="22"/>
        </w:rPr>
        <w:t>newspaper (2008);</w:t>
      </w:r>
    </w:p>
    <w:p w14:paraId="0CEDEE7C" w14:textId="77777777" w:rsidR="00EC60CA" w:rsidRPr="00D23A1A" w:rsidRDefault="007804F4" w:rsidP="00D23A1A">
      <w:pPr>
        <w:numPr>
          <w:ilvl w:val="0"/>
          <w:numId w:val="6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Govindjee and Bhat “Restrictive covenants in employment contracts: a comparison between the legal positions in India and South Africa” published in the </w:t>
      </w:r>
      <w:r w:rsidRPr="00D23A1A">
        <w:rPr>
          <w:rFonts w:asciiTheme="majorHAnsi" w:hAnsiTheme="majorHAnsi"/>
          <w:i/>
          <w:iCs/>
          <w:sz w:val="22"/>
          <w:szCs w:val="22"/>
        </w:rPr>
        <w:t>National Law School of India Review</w:t>
      </w:r>
      <w:r w:rsidRPr="00D23A1A">
        <w:rPr>
          <w:rFonts w:asciiTheme="majorHAnsi" w:hAnsiTheme="majorHAnsi"/>
          <w:sz w:val="22"/>
          <w:szCs w:val="22"/>
        </w:rPr>
        <w:t xml:space="preserve"> vol. 20 no. 1 (2008) 46-61.</w:t>
      </w:r>
    </w:p>
    <w:p w14:paraId="1EE2C33F" w14:textId="77777777" w:rsidR="00EC60CA" w:rsidRPr="00D23A1A" w:rsidRDefault="00EC60CA" w:rsidP="00D23A1A">
      <w:pPr>
        <w:spacing w:line="276" w:lineRule="auto"/>
        <w:jc w:val="both"/>
        <w:rPr>
          <w:rFonts w:asciiTheme="majorHAnsi" w:eastAsia="Trebuchet MS" w:hAnsiTheme="majorHAnsi" w:cs="Trebuchet MS"/>
          <w:sz w:val="22"/>
          <w:szCs w:val="22"/>
        </w:rPr>
      </w:pPr>
    </w:p>
    <w:p w14:paraId="7C690433" w14:textId="1E7CC8F3" w:rsidR="00EC60CA" w:rsidRPr="00D23A1A" w:rsidRDefault="00ED60A3" w:rsidP="00D23A1A">
      <w:pPr>
        <w:pStyle w:val="Heading1"/>
        <w:widowControl/>
        <w:spacing w:line="276" w:lineRule="auto"/>
        <w:jc w:val="both"/>
        <w:rPr>
          <w:rFonts w:asciiTheme="majorHAnsi" w:eastAsia="Trebuchet MS" w:hAnsiTheme="majorHAnsi" w:cs="Trebuchet MS"/>
          <w:b/>
          <w:bCs/>
          <w:i/>
          <w:iCs/>
          <w:sz w:val="22"/>
          <w:szCs w:val="22"/>
        </w:rPr>
      </w:pPr>
      <w:r w:rsidRPr="00D23A1A">
        <w:rPr>
          <w:rFonts w:asciiTheme="majorHAnsi" w:hAnsiTheme="majorHAnsi"/>
          <w:b/>
          <w:bCs/>
          <w:i/>
          <w:iCs/>
          <w:sz w:val="22"/>
          <w:szCs w:val="22"/>
        </w:rPr>
        <w:t xml:space="preserve">Conference, Seminar, </w:t>
      </w:r>
      <w:r w:rsidR="007804F4" w:rsidRPr="00D23A1A">
        <w:rPr>
          <w:rFonts w:asciiTheme="majorHAnsi" w:hAnsiTheme="majorHAnsi"/>
          <w:b/>
          <w:bCs/>
          <w:i/>
          <w:iCs/>
          <w:sz w:val="22"/>
          <w:szCs w:val="22"/>
        </w:rPr>
        <w:t>Colloquium Presentations</w:t>
      </w:r>
      <w:r w:rsidRPr="00D23A1A">
        <w:rPr>
          <w:rFonts w:asciiTheme="majorHAnsi" w:hAnsiTheme="majorHAnsi"/>
          <w:b/>
          <w:bCs/>
          <w:i/>
          <w:iCs/>
          <w:sz w:val="22"/>
          <w:szCs w:val="22"/>
        </w:rPr>
        <w:t xml:space="preserve"> and Panel Discussions</w:t>
      </w:r>
    </w:p>
    <w:p w14:paraId="04222005" w14:textId="4EA0545E" w:rsidR="00043B08" w:rsidRPr="00043B08" w:rsidRDefault="00043B08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‘Non-contributory social security: Setting the agenda for the next 20 years’ presented by invitation at a Social Security Seminar organised by Black Sash, Action Aid and EPRI (Johannesburg, 11 August 2015); </w:t>
      </w:r>
    </w:p>
    <w:p w14:paraId="57DF56AB" w14:textId="77D17C14" w:rsidR="004245A1" w:rsidRPr="004245A1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‘Social security in South Africa: Implications of SA’s ratification of the ICESCR and recent developments’ presented </w:t>
      </w:r>
      <w:r w:rsidR="00043B08">
        <w:rPr>
          <w:rFonts w:asciiTheme="majorHAnsi" w:eastAsia="Trebuchet MS" w:hAnsiTheme="majorHAnsi" w:cs="Trebuchet MS"/>
          <w:iCs/>
          <w:sz w:val="22"/>
          <w:szCs w:val="22"/>
        </w:rPr>
        <w:t xml:space="preserve">by invitation </w:t>
      </w: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at the </w:t>
      </w:r>
      <w:r>
        <w:rPr>
          <w:rFonts w:asciiTheme="majorHAnsi" w:eastAsia="Trebuchet MS" w:hAnsiTheme="majorHAnsi" w:cs="Trebuchet MS"/>
          <w:i/>
          <w:iCs/>
          <w:sz w:val="22"/>
          <w:szCs w:val="22"/>
        </w:rPr>
        <w:t>28</w:t>
      </w:r>
      <w:r>
        <w:rPr>
          <w:rFonts w:asciiTheme="majorHAnsi" w:eastAsia="Trebuchet MS" w:hAnsiTheme="majorHAnsi" w:cs="Trebuchet MS"/>
          <w:i/>
          <w:iCs/>
          <w:sz w:val="22"/>
          <w:szCs w:val="22"/>
          <w:vertAlign w:val="superscript"/>
        </w:rPr>
        <w:t>th</w:t>
      </w:r>
      <w:r>
        <w:rPr>
          <w:rFonts w:asciiTheme="majorHAnsi" w:eastAsia="Trebuchet MS" w:hAnsiTheme="majorHAnsi" w:cs="Trebuchet MS"/>
          <w:i/>
          <w:iCs/>
          <w:sz w:val="22"/>
          <w:szCs w:val="22"/>
        </w:rPr>
        <w:t xml:space="preserve"> Annual Labour Law Conference</w:t>
      </w: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 (Johannesburg, 4-6 August 2015);</w:t>
      </w:r>
    </w:p>
    <w:p w14:paraId="08863447" w14:textId="02E04BCE" w:rsidR="00B56A13" w:rsidRPr="00B56A13" w:rsidRDefault="00B56A13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‘The inter-relationship between administrative law and labour law: Public sector employment perspectives from South Africa’ co-presented at the </w:t>
      </w:r>
      <w:r>
        <w:rPr>
          <w:rFonts w:asciiTheme="majorHAnsi" w:eastAsia="Trebuchet MS" w:hAnsiTheme="majorHAnsi" w:cs="Trebuchet MS"/>
          <w:i/>
          <w:iCs/>
          <w:sz w:val="22"/>
          <w:szCs w:val="22"/>
        </w:rPr>
        <w:t>2</w:t>
      </w:r>
      <w:r w:rsidRPr="00B56A13">
        <w:rPr>
          <w:rFonts w:asciiTheme="majorHAnsi" w:eastAsia="Trebuchet MS" w:hAnsiTheme="majorHAnsi" w:cs="Trebuchet MS"/>
          <w:i/>
          <w:iCs/>
          <w:sz w:val="22"/>
          <w:szCs w:val="22"/>
          <w:vertAlign w:val="superscript"/>
        </w:rPr>
        <w:t>nd</w:t>
      </w:r>
      <w:r>
        <w:rPr>
          <w:rFonts w:asciiTheme="majorHAnsi" w:eastAsia="Trebuchet MS" w:hAnsiTheme="majorHAnsi" w:cs="Trebuchet MS"/>
          <w:i/>
          <w:iCs/>
          <w:sz w:val="22"/>
          <w:szCs w:val="22"/>
        </w:rPr>
        <w:t xml:space="preserve"> Conference of the Labour Law Resesarch Network</w:t>
      </w: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 (Amsterdam, 25-27 June 2015);</w:t>
      </w:r>
    </w:p>
    <w:p w14:paraId="00B79183" w14:textId="1F902CA9" w:rsidR="00C526B0" w:rsidRPr="00D23A1A" w:rsidRDefault="00481AA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>‘</w:t>
      </w:r>
      <w:r w:rsidRPr="00D23A1A">
        <w:rPr>
          <w:rFonts w:asciiTheme="majorHAnsi" w:eastAsia="Trebuchet MS" w:hAnsiTheme="majorHAnsi" w:cs="Trebuchet MS"/>
          <w:iCs/>
          <w:sz w:val="22"/>
          <w:szCs w:val="22"/>
        </w:rPr>
        <w:t>Expanding the boundaries of social security protection for informal economy workers in South East Asia’ co</w:t>
      </w:r>
      <w:r w:rsidR="00E8417F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-presented at the </w:t>
      </w:r>
      <w:r w:rsidR="00E8417F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 xml:space="preserve">Second International Conference on Social Security </w:t>
      </w:r>
      <w:r w:rsidR="00E8417F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(SSRC, </w:t>
      </w:r>
      <w:r w:rsidR="00B63B57" w:rsidRPr="00D23A1A">
        <w:rPr>
          <w:rFonts w:asciiTheme="majorHAnsi" w:eastAsia="Trebuchet MS" w:hAnsiTheme="majorHAnsi" w:cs="Trebuchet MS"/>
          <w:iCs/>
          <w:sz w:val="22"/>
          <w:szCs w:val="22"/>
        </w:rPr>
        <w:t>Malaysia, 3-5 December 2014);</w:t>
      </w:r>
    </w:p>
    <w:p w14:paraId="3D51280D" w14:textId="4152B1D6" w:rsidR="00B63B57" w:rsidRPr="00D23A1A" w:rsidRDefault="00B63B57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‘Protecting </w:t>
      </w:r>
      <w:r w:rsidR="00856C33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and integrating migrant workers in ASEAN social </w:t>
      </w:r>
      <w:r w:rsidR="00EB793C">
        <w:rPr>
          <w:rFonts w:asciiTheme="majorHAnsi" w:eastAsia="Trebuchet MS" w:hAnsiTheme="majorHAnsi" w:cs="Trebuchet MS"/>
          <w:iCs/>
          <w:sz w:val="22"/>
          <w:szCs w:val="22"/>
        </w:rPr>
        <w:t>security systems’ co-presented at</w:t>
      </w:r>
      <w:r w:rsidR="00856C33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 the </w:t>
      </w:r>
      <w:r w:rsidR="00856C33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 xml:space="preserve">Second International Conference on </w:t>
      </w:r>
      <w:r w:rsidR="00F02478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>Social</w:t>
      </w:r>
      <w:r w:rsidR="00856C33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 xml:space="preserve"> Security</w:t>
      </w:r>
      <w:r w:rsidR="00D17D8A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 xml:space="preserve"> </w:t>
      </w:r>
      <w:r w:rsidR="00D17D8A" w:rsidRPr="00D23A1A">
        <w:rPr>
          <w:rFonts w:asciiTheme="majorHAnsi" w:eastAsia="Trebuchet MS" w:hAnsiTheme="majorHAnsi" w:cs="Trebuchet MS"/>
          <w:iCs/>
          <w:sz w:val="22"/>
          <w:szCs w:val="22"/>
        </w:rPr>
        <w:t>(SSRC, Malaysia, 3-5 December 2014);</w:t>
      </w:r>
    </w:p>
    <w:p w14:paraId="3E621966" w14:textId="7648DD22" w:rsidR="003C09E3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eastAsia="Trebuchet MS" w:hAnsiTheme="majorHAnsi" w:cs="Trebuchet MS"/>
          <w:iCs/>
          <w:sz w:val="22"/>
          <w:szCs w:val="22"/>
        </w:rPr>
        <w:t>‘</w:t>
      </w:r>
      <w:r w:rsidR="003C09E3" w:rsidRPr="00D23A1A">
        <w:rPr>
          <w:rFonts w:asciiTheme="majorHAnsi" w:eastAsia="Trebuchet MS" w:hAnsiTheme="majorHAnsi" w:cs="Trebuchet MS"/>
          <w:iCs/>
          <w:sz w:val="22"/>
          <w:szCs w:val="22"/>
        </w:rPr>
        <w:t>Critical factors in implementing the ISSA Guidelines on Return-to-Work and Re-integrati</w:t>
      </w:r>
      <w:r>
        <w:rPr>
          <w:rFonts w:asciiTheme="majorHAnsi" w:eastAsia="Trebuchet MS" w:hAnsiTheme="majorHAnsi" w:cs="Trebuchet MS"/>
          <w:iCs/>
          <w:sz w:val="22"/>
          <w:szCs w:val="22"/>
        </w:rPr>
        <w:t>on in developing world contexts’</w:t>
      </w:r>
      <w:r w:rsidR="003C09E3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 co-presented at the </w:t>
      </w:r>
      <w:r w:rsidR="003C09E3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>International Forum on Disability Management (IFDM) Conference</w:t>
      </w:r>
      <w:r w:rsidR="003C09E3" w:rsidRPr="00D23A1A">
        <w:rPr>
          <w:rFonts w:asciiTheme="majorHAnsi" w:eastAsia="Trebuchet MS" w:hAnsiTheme="majorHAnsi" w:cs="Trebuchet MS"/>
          <w:iCs/>
          <w:sz w:val="22"/>
          <w:szCs w:val="22"/>
        </w:rPr>
        <w:t>, (Melbourne, 16-19 November 2014);</w:t>
      </w:r>
    </w:p>
    <w:p w14:paraId="66914402" w14:textId="5AB3BBC0" w:rsidR="001A5D50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eastAsia="Trebuchet MS" w:hAnsiTheme="majorHAnsi" w:cs="Trebuchet MS"/>
          <w:iCs/>
          <w:sz w:val="22"/>
          <w:szCs w:val="22"/>
        </w:rPr>
        <w:t>‘</w:t>
      </w:r>
      <w:r w:rsidR="001A5D50" w:rsidRPr="00D23A1A">
        <w:rPr>
          <w:rFonts w:asciiTheme="majorHAnsi" w:eastAsia="Trebuchet MS" w:hAnsiTheme="majorHAnsi" w:cs="Trebuchet MS"/>
          <w:iCs/>
          <w:sz w:val="22"/>
          <w:szCs w:val="22"/>
        </w:rPr>
        <w:t>Access to South African social security ben</w:t>
      </w:r>
      <w:r>
        <w:rPr>
          <w:rFonts w:asciiTheme="majorHAnsi" w:eastAsia="Trebuchet MS" w:hAnsiTheme="majorHAnsi" w:cs="Trebuchet MS"/>
          <w:iCs/>
          <w:sz w:val="22"/>
          <w:szCs w:val="22"/>
        </w:rPr>
        <w:t>efits: Challenges and prospects’</w:t>
      </w:r>
      <w:r w:rsidR="001A5D50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 co-presented at the SASPEN and FES </w:t>
      </w:r>
      <w:r w:rsidR="001A5D50" w:rsidRPr="00D23A1A">
        <w:rPr>
          <w:rFonts w:asciiTheme="majorHAnsi" w:eastAsia="Trebuchet MS" w:hAnsiTheme="majorHAnsi" w:cs="Trebuchet MS"/>
          <w:i/>
          <w:iCs/>
          <w:sz w:val="22"/>
          <w:szCs w:val="22"/>
        </w:rPr>
        <w:t>International Conference on Social Protection for Migrants in the SADC</w:t>
      </w:r>
      <w:r w:rsidR="001A5D50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 (Johannesburg, 29-30 October 2014);</w:t>
      </w:r>
    </w:p>
    <w:p w14:paraId="12BE9321" w14:textId="3A91F49E" w:rsidR="00ED60A3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eastAsia="Trebuchet MS" w:hAnsiTheme="majorHAnsi" w:cs="Trebuchet MS"/>
          <w:iCs/>
          <w:sz w:val="22"/>
          <w:szCs w:val="22"/>
        </w:rPr>
        <w:t>‘</w:t>
      </w:r>
      <w:r w:rsidR="00ED60A3" w:rsidRPr="00D23A1A">
        <w:rPr>
          <w:rFonts w:asciiTheme="majorHAnsi" w:eastAsia="Trebuchet MS" w:hAnsiTheme="majorHAnsi" w:cs="Trebuchet MS"/>
          <w:iCs/>
          <w:sz w:val="22"/>
          <w:szCs w:val="22"/>
        </w:rPr>
        <w:t>Youth unemployment in South Africa: Challenges to Social</w:t>
      </w:r>
      <w:r>
        <w:rPr>
          <w:rFonts w:asciiTheme="majorHAnsi" w:eastAsia="Trebuchet MS" w:hAnsiTheme="majorHAnsi" w:cs="Trebuchet MS"/>
          <w:iCs/>
          <w:sz w:val="22"/>
          <w:szCs w:val="22"/>
        </w:rPr>
        <w:t xml:space="preserve"> security and the Labour Market’</w:t>
      </w:r>
      <w:r w:rsidR="00ED60A3" w:rsidRPr="00D23A1A">
        <w:rPr>
          <w:rFonts w:asciiTheme="majorHAnsi" w:eastAsia="Trebuchet MS" w:hAnsiTheme="majorHAnsi" w:cs="Trebuchet MS"/>
          <w:iCs/>
          <w:sz w:val="22"/>
          <w:szCs w:val="22"/>
        </w:rPr>
        <w:t xml:space="preserve"> presented </w:t>
      </w:r>
      <w:r w:rsidR="00043B08">
        <w:rPr>
          <w:rFonts w:asciiTheme="majorHAnsi" w:eastAsia="Trebuchet MS" w:hAnsiTheme="majorHAnsi" w:cs="Trebuchet MS"/>
          <w:iCs/>
          <w:sz w:val="22"/>
          <w:szCs w:val="22"/>
        </w:rPr>
        <w:t xml:space="preserve">by invitation </w:t>
      </w:r>
      <w:r w:rsidR="00ED60A3" w:rsidRPr="00D23A1A">
        <w:rPr>
          <w:rFonts w:asciiTheme="majorHAnsi" w:eastAsia="Trebuchet MS" w:hAnsiTheme="majorHAnsi" w:cs="Trebuchet MS"/>
          <w:iCs/>
          <w:sz w:val="22"/>
          <w:szCs w:val="22"/>
        </w:rPr>
        <w:t>at the Mail &amp; Guardian Critical Thinking Forum (Johannesburg, 27 May 2014);</w:t>
      </w:r>
    </w:p>
    <w:p w14:paraId="1DDA71D3" w14:textId="6F9450BA" w:rsidR="004938B5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‘</w:t>
      </w:r>
      <w:r w:rsidR="004938B5" w:rsidRPr="00D23A1A">
        <w:rPr>
          <w:rFonts w:asciiTheme="majorHAnsi" w:hAnsiTheme="majorHAnsi"/>
          <w:sz w:val="22"/>
          <w:szCs w:val="22"/>
        </w:rPr>
        <w:t>Constitutional reflections on social protection for vulnerable workers and the unemployed: Perspecti</w:t>
      </w:r>
      <w:r>
        <w:rPr>
          <w:rFonts w:asciiTheme="majorHAnsi" w:hAnsiTheme="majorHAnsi"/>
          <w:sz w:val="22"/>
          <w:szCs w:val="22"/>
        </w:rPr>
        <w:t>ves from India and South Africa’</w:t>
      </w:r>
      <w:r w:rsidR="004938B5" w:rsidRPr="00D23A1A">
        <w:rPr>
          <w:rFonts w:asciiTheme="majorHAnsi" w:hAnsiTheme="majorHAnsi"/>
          <w:sz w:val="22"/>
          <w:szCs w:val="22"/>
        </w:rPr>
        <w:t xml:space="preserve"> co-presented at the </w:t>
      </w:r>
      <w:r w:rsidR="004938B5" w:rsidRPr="00D23A1A">
        <w:rPr>
          <w:rFonts w:asciiTheme="majorHAnsi" w:hAnsiTheme="majorHAnsi"/>
          <w:i/>
          <w:sz w:val="22"/>
          <w:szCs w:val="22"/>
        </w:rPr>
        <w:t>12</w:t>
      </w:r>
      <w:r w:rsidR="004938B5" w:rsidRPr="00D23A1A">
        <w:rPr>
          <w:rFonts w:asciiTheme="majorHAnsi" w:hAnsiTheme="majorHAnsi"/>
          <w:i/>
          <w:sz w:val="22"/>
          <w:szCs w:val="22"/>
          <w:vertAlign w:val="superscript"/>
        </w:rPr>
        <w:t>th</w:t>
      </w:r>
      <w:r w:rsidR="004938B5" w:rsidRPr="00D23A1A">
        <w:rPr>
          <w:rFonts w:asciiTheme="majorHAnsi" w:hAnsiTheme="majorHAnsi"/>
          <w:i/>
          <w:sz w:val="22"/>
          <w:szCs w:val="22"/>
        </w:rPr>
        <w:t xml:space="preserve"> International Conference in Commemoration of Marco Biagi (on Employment and Social Rights: An Evolving Scenario) </w:t>
      </w:r>
      <w:r w:rsidR="004938B5" w:rsidRPr="00D23A1A">
        <w:rPr>
          <w:rFonts w:asciiTheme="majorHAnsi" w:hAnsiTheme="majorHAnsi"/>
          <w:sz w:val="22"/>
          <w:szCs w:val="22"/>
        </w:rPr>
        <w:t>(Modena, 18-19 March 2014);</w:t>
      </w:r>
    </w:p>
    <w:p w14:paraId="63D32132" w14:textId="404895B9" w:rsidR="00EC60CA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‘</w:t>
      </w:r>
      <w:r w:rsidR="007804F4" w:rsidRPr="00D23A1A">
        <w:rPr>
          <w:rFonts w:asciiTheme="majorHAnsi" w:hAnsiTheme="majorHAnsi"/>
          <w:sz w:val="22"/>
          <w:szCs w:val="22"/>
        </w:rPr>
        <w:t>The LRA Amendment Bill and the regula</w:t>
      </w:r>
      <w:r>
        <w:rPr>
          <w:rFonts w:asciiTheme="majorHAnsi" w:hAnsiTheme="majorHAnsi"/>
          <w:sz w:val="22"/>
          <w:szCs w:val="22"/>
        </w:rPr>
        <w:t>tion of non-standard employment’</w:t>
      </w:r>
      <w:r w:rsidR="007804F4" w:rsidRPr="00D23A1A">
        <w:rPr>
          <w:rFonts w:asciiTheme="majorHAnsi" w:hAnsiTheme="majorHAnsi"/>
          <w:sz w:val="22"/>
          <w:szCs w:val="22"/>
        </w:rPr>
        <w:t xml:space="preserve"> presented at </w:t>
      </w:r>
      <w:r w:rsidR="007804F4" w:rsidRPr="00D23A1A">
        <w:rPr>
          <w:rFonts w:asciiTheme="majorHAnsi" w:hAnsiTheme="majorHAnsi"/>
          <w:i/>
          <w:iCs/>
          <w:sz w:val="22"/>
          <w:szCs w:val="22"/>
        </w:rPr>
        <w:t>Juta’s Annual Labour Law Seminar</w:t>
      </w:r>
      <w:r w:rsidR="007804F4" w:rsidRPr="00D23A1A">
        <w:rPr>
          <w:rFonts w:asciiTheme="majorHAnsi" w:hAnsiTheme="majorHAnsi"/>
          <w:sz w:val="22"/>
          <w:szCs w:val="22"/>
        </w:rPr>
        <w:t xml:space="preserve"> (Port Elizabeth, October 2013);</w:t>
      </w:r>
    </w:p>
    <w:p w14:paraId="35AD60FE" w14:textId="726CF8F5" w:rsidR="00EC60CA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‘</w:t>
      </w:r>
      <w:r w:rsidR="007804F4" w:rsidRPr="00D23A1A">
        <w:rPr>
          <w:rFonts w:asciiTheme="majorHAnsi" w:hAnsiTheme="majorHAnsi"/>
          <w:sz w:val="22"/>
          <w:szCs w:val="22"/>
        </w:rPr>
        <w:t>Employment Guarantee Schemes and Public Works Programmes as Social Protection Measures aff</w:t>
      </w:r>
      <w:r>
        <w:rPr>
          <w:rFonts w:asciiTheme="majorHAnsi" w:hAnsiTheme="majorHAnsi"/>
          <w:sz w:val="22"/>
          <w:szCs w:val="22"/>
        </w:rPr>
        <w:t>ecting Informal Economy Workers’</w:t>
      </w:r>
      <w:r w:rsidR="007804F4" w:rsidRPr="00D23A1A">
        <w:rPr>
          <w:rFonts w:asciiTheme="majorHAnsi" w:hAnsiTheme="majorHAnsi"/>
          <w:sz w:val="22"/>
          <w:szCs w:val="22"/>
        </w:rPr>
        <w:t xml:space="preserve"> co-presented by invitation at the SASPEN and FES </w:t>
      </w:r>
      <w:r w:rsidR="007804F4" w:rsidRPr="00D23A1A">
        <w:rPr>
          <w:rFonts w:asciiTheme="majorHAnsi" w:hAnsiTheme="majorHAnsi"/>
          <w:i/>
          <w:iCs/>
          <w:sz w:val="22"/>
          <w:szCs w:val="22"/>
        </w:rPr>
        <w:lastRenderedPageBreak/>
        <w:t>International Conference on Social Protection for those Working Informally</w:t>
      </w:r>
      <w:r w:rsidR="00ED60A3" w:rsidRPr="00D23A1A">
        <w:rPr>
          <w:rFonts w:asciiTheme="majorHAnsi" w:hAnsiTheme="majorHAnsi"/>
          <w:sz w:val="22"/>
          <w:szCs w:val="22"/>
        </w:rPr>
        <w:t xml:space="preserve"> (Johannesburg</w:t>
      </w:r>
      <w:r w:rsidR="007804F4" w:rsidRPr="00D23A1A">
        <w:rPr>
          <w:rFonts w:asciiTheme="majorHAnsi" w:hAnsiTheme="majorHAnsi"/>
          <w:sz w:val="22"/>
          <w:szCs w:val="22"/>
        </w:rPr>
        <w:t>, 16-17 September 2013);</w:t>
      </w:r>
    </w:p>
    <w:p w14:paraId="576EC458" w14:textId="76ED9FF4" w:rsidR="00EC60CA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‘</w:t>
      </w:r>
      <w:r w:rsidR="007804F4" w:rsidRPr="00D23A1A">
        <w:rPr>
          <w:rFonts w:asciiTheme="majorHAnsi" w:hAnsiTheme="majorHAnsi"/>
          <w:sz w:val="22"/>
          <w:szCs w:val="22"/>
        </w:rPr>
        <w:t>Evidence at the CCMA: Emerging t</w:t>
      </w:r>
      <w:r>
        <w:rPr>
          <w:rFonts w:asciiTheme="majorHAnsi" w:hAnsiTheme="majorHAnsi"/>
          <w:sz w:val="22"/>
          <w:szCs w:val="22"/>
        </w:rPr>
        <w:t>rends’</w:t>
      </w:r>
      <w:r w:rsidR="007804F4" w:rsidRPr="00D23A1A">
        <w:rPr>
          <w:rFonts w:asciiTheme="majorHAnsi" w:hAnsiTheme="majorHAnsi"/>
          <w:sz w:val="22"/>
          <w:szCs w:val="22"/>
        </w:rPr>
        <w:t xml:space="preserve"> presented by invitation at the </w:t>
      </w:r>
      <w:r w:rsidR="007804F4" w:rsidRPr="00D23A1A">
        <w:rPr>
          <w:rFonts w:asciiTheme="majorHAnsi" w:hAnsiTheme="majorHAnsi"/>
          <w:i/>
          <w:iCs/>
          <w:sz w:val="22"/>
          <w:szCs w:val="22"/>
        </w:rPr>
        <w:t>26</w:t>
      </w:r>
      <w:r w:rsidR="007804F4"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="007804F4" w:rsidRPr="00D23A1A">
        <w:rPr>
          <w:rFonts w:asciiTheme="majorHAnsi" w:hAnsiTheme="majorHAnsi"/>
          <w:i/>
          <w:iCs/>
          <w:sz w:val="22"/>
          <w:szCs w:val="22"/>
        </w:rPr>
        <w:t xml:space="preserve"> Annual Labour Law Conference</w:t>
      </w:r>
      <w:r w:rsidR="007804F4" w:rsidRPr="00D23A1A">
        <w:rPr>
          <w:rFonts w:asciiTheme="majorHAnsi" w:hAnsiTheme="majorHAnsi"/>
          <w:sz w:val="22"/>
          <w:szCs w:val="22"/>
        </w:rPr>
        <w:t xml:space="preserve"> (Johannesburg, 30 July – 1 August 2013);</w:t>
      </w:r>
    </w:p>
    <w:p w14:paraId="4F6F362A" w14:textId="6ED448BD" w:rsidR="00EC60CA" w:rsidRPr="00D23A1A" w:rsidRDefault="004245A1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‘</w:t>
      </w:r>
      <w:r w:rsidR="007804F4" w:rsidRPr="00D23A1A">
        <w:rPr>
          <w:rFonts w:asciiTheme="majorHAnsi" w:hAnsiTheme="majorHAnsi"/>
          <w:sz w:val="22"/>
          <w:szCs w:val="22"/>
        </w:rPr>
        <w:t>Labour rights and social protection of migrant workers: In search o</w:t>
      </w:r>
      <w:r>
        <w:rPr>
          <w:rFonts w:asciiTheme="majorHAnsi" w:hAnsiTheme="majorHAnsi"/>
          <w:sz w:val="22"/>
          <w:szCs w:val="22"/>
        </w:rPr>
        <w:t>f a co-ordinated legal response’</w:t>
      </w:r>
      <w:r w:rsidR="007804F4" w:rsidRPr="00D23A1A">
        <w:rPr>
          <w:rFonts w:asciiTheme="majorHAnsi" w:hAnsiTheme="majorHAnsi"/>
          <w:sz w:val="22"/>
          <w:szCs w:val="22"/>
        </w:rPr>
        <w:t xml:space="preserve"> co-authored (but presented by Prof Olivier) at the </w:t>
      </w:r>
      <w:r w:rsidR="007804F4" w:rsidRPr="00D23A1A">
        <w:rPr>
          <w:rFonts w:asciiTheme="majorHAnsi" w:hAnsiTheme="majorHAnsi"/>
          <w:i/>
          <w:iCs/>
          <w:sz w:val="22"/>
          <w:szCs w:val="22"/>
        </w:rPr>
        <w:t xml:space="preserve">Labour Law Research Network: Inaugural Conference </w:t>
      </w:r>
      <w:r w:rsidR="007804F4" w:rsidRPr="00D23A1A">
        <w:rPr>
          <w:rFonts w:asciiTheme="majorHAnsi" w:hAnsiTheme="majorHAnsi"/>
          <w:sz w:val="22"/>
          <w:szCs w:val="22"/>
        </w:rPr>
        <w:t>(Barcelona, June 2013);</w:t>
      </w:r>
    </w:p>
    <w:p w14:paraId="787DCD0F" w14:textId="360A1299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“Contemporary labour issues and the automotive industry: Ticking time-bombs or pleasant surprises”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Human Capital Workshop for the Automotive Industry Cluster</w:t>
      </w:r>
      <w:r w:rsidR="00ED60A3" w:rsidRPr="00D23A1A">
        <w:rPr>
          <w:rFonts w:asciiTheme="majorHAnsi" w:hAnsiTheme="majorHAnsi"/>
          <w:sz w:val="22"/>
          <w:szCs w:val="22"/>
        </w:rPr>
        <w:t xml:space="preserve"> (Port Elizabeth</w:t>
      </w:r>
      <w:r w:rsidRPr="00D23A1A">
        <w:rPr>
          <w:rFonts w:asciiTheme="majorHAnsi" w:hAnsiTheme="majorHAnsi"/>
          <w:sz w:val="22"/>
          <w:szCs w:val="22"/>
        </w:rPr>
        <w:t>, 11 April 2013);</w:t>
      </w:r>
    </w:p>
    <w:p w14:paraId="0D30B68F" w14:textId="112635ED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“Employment guarantee schemes in India: Possible lessons for emerging market economies” co-authored (but presented by Prof Olivier) at the </w:t>
      </w:r>
      <w:r w:rsidRPr="00D23A1A">
        <w:rPr>
          <w:rFonts w:asciiTheme="majorHAnsi" w:hAnsiTheme="majorHAnsi"/>
          <w:i/>
          <w:iCs/>
          <w:sz w:val="22"/>
          <w:szCs w:val="22"/>
        </w:rPr>
        <w:t>8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Asian Regional Congress of the International Labour and Employment Relations Association</w:t>
      </w:r>
      <w:r w:rsidR="00ED60A3" w:rsidRPr="00D23A1A">
        <w:rPr>
          <w:rFonts w:asciiTheme="majorHAnsi" w:hAnsiTheme="majorHAnsi"/>
          <w:sz w:val="22"/>
          <w:szCs w:val="22"/>
        </w:rPr>
        <w:t xml:space="preserve"> (Melbourne</w:t>
      </w:r>
      <w:r w:rsidRPr="00D23A1A">
        <w:rPr>
          <w:rFonts w:asciiTheme="majorHAnsi" w:hAnsiTheme="majorHAnsi"/>
          <w:sz w:val="22"/>
          <w:szCs w:val="22"/>
        </w:rPr>
        <w:t>, 9-12 April 2013);</w:t>
      </w:r>
    </w:p>
    <w:p w14:paraId="20D8340A" w14:textId="5EABC623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“Enhancing the protection of transnational migrant workers: A critical evaluation of regulatory techniques”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11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International Conference in memory of Prof Marco Biagi</w:t>
      </w:r>
      <w:r w:rsidR="00ED60A3" w:rsidRPr="00D23A1A">
        <w:rPr>
          <w:rFonts w:asciiTheme="majorHAnsi" w:hAnsiTheme="majorHAnsi"/>
          <w:sz w:val="22"/>
          <w:szCs w:val="22"/>
        </w:rPr>
        <w:t xml:space="preserve"> (Modena</w:t>
      </w:r>
      <w:r w:rsidRPr="00D23A1A">
        <w:rPr>
          <w:rFonts w:asciiTheme="majorHAnsi" w:hAnsiTheme="majorHAnsi"/>
          <w:sz w:val="22"/>
          <w:szCs w:val="22"/>
        </w:rPr>
        <w:t>, 18-19 March 2013);</w:t>
      </w:r>
    </w:p>
    <w:p w14:paraId="21511DEE" w14:textId="022E88CC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“Combinative governance: revisiting the separation of powers doctrine in search of poverty alleviation, equality and employment” presented as part of the CSSEIP Occasional Lecture Series at the National Law School of In</w:t>
      </w:r>
      <w:r w:rsidR="00ED60A3" w:rsidRPr="00D23A1A">
        <w:rPr>
          <w:rFonts w:asciiTheme="majorHAnsi" w:hAnsiTheme="majorHAnsi"/>
          <w:sz w:val="22"/>
          <w:szCs w:val="22"/>
        </w:rPr>
        <w:t>dia University (Bangalore</w:t>
      </w:r>
      <w:r w:rsidRPr="00D23A1A">
        <w:rPr>
          <w:rFonts w:asciiTheme="majorHAnsi" w:hAnsiTheme="majorHAnsi"/>
          <w:sz w:val="22"/>
          <w:szCs w:val="22"/>
        </w:rPr>
        <w:t>, 20 December 2012);</w:t>
      </w:r>
    </w:p>
    <w:p w14:paraId="3FF5F313" w14:textId="6E972A56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“Biodiversity and canned lion hunting in South Africa” presented by invitation at the International Law Conference on Conservation of Forests, Wil</w:t>
      </w:r>
      <w:r w:rsidR="00ED60A3" w:rsidRPr="00D23A1A">
        <w:rPr>
          <w:rFonts w:asciiTheme="majorHAnsi" w:hAnsiTheme="majorHAnsi"/>
          <w:sz w:val="22"/>
          <w:szCs w:val="22"/>
        </w:rPr>
        <w:t>dlife and Ecology (Kerala</w:t>
      </w:r>
      <w:r w:rsidRPr="00D23A1A">
        <w:rPr>
          <w:rFonts w:asciiTheme="majorHAnsi" w:hAnsiTheme="majorHAnsi"/>
          <w:sz w:val="22"/>
          <w:szCs w:val="22"/>
        </w:rPr>
        <w:t>, 15-17 December 2012);</w:t>
      </w:r>
    </w:p>
    <w:p w14:paraId="597B01E8" w14:textId="0F3FBFB8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“Legal strategies for a ‘second-phase’ transition in South Africa”, </w:t>
      </w:r>
      <w:r w:rsidRPr="00D23A1A">
        <w:rPr>
          <w:rFonts w:asciiTheme="majorHAnsi" w:hAnsiTheme="majorHAnsi"/>
          <w:i/>
          <w:iCs/>
          <w:sz w:val="22"/>
          <w:szCs w:val="22"/>
        </w:rPr>
        <w:t>Inaugural Lecture</w:t>
      </w:r>
      <w:r w:rsidR="00ED60A3" w:rsidRPr="00D23A1A">
        <w:rPr>
          <w:rFonts w:asciiTheme="majorHAnsi" w:hAnsiTheme="majorHAnsi"/>
          <w:sz w:val="22"/>
          <w:szCs w:val="22"/>
        </w:rPr>
        <w:t xml:space="preserve"> (Port Elizabeth</w:t>
      </w:r>
      <w:r w:rsidRPr="00D23A1A">
        <w:rPr>
          <w:rFonts w:asciiTheme="majorHAnsi" w:hAnsiTheme="majorHAnsi"/>
          <w:sz w:val="22"/>
          <w:szCs w:val="22"/>
        </w:rPr>
        <w:t>, 13 August 2012);</w:t>
      </w:r>
    </w:p>
    <w:p w14:paraId="5F051199" w14:textId="7F0E8ADC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role of health and safety in sustaining human capital”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25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Annual Labour Law Conference</w:t>
      </w:r>
      <w:r w:rsidR="00ED60A3" w:rsidRPr="00D23A1A">
        <w:rPr>
          <w:rFonts w:asciiTheme="majorHAnsi" w:hAnsiTheme="majorHAnsi"/>
          <w:sz w:val="22"/>
          <w:szCs w:val="22"/>
        </w:rPr>
        <w:t xml:space="preserve"> (Johannesburg</w:t>
      </w:r>
      <w:r w:rsidRPr="00D23A1A">
        <w:rPr>
          <w:rFonts w:asciiTheme="majorHAnsi" w:hAnsiTheme="majorHAnsi"/>
          <w:sz w:val="22"/>
          <w:szCs w:val="22"/>
        </w:rPr>
        <w:t>, 1-3 August 2012);</w:t>
      </w:r>
    </w:p>
    <w:p w14:paraId="6080FF22" w14:textId="4228EC10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“Strategies in creating a sustainable social security system”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SOCSO National Return to Work Conference</w:t>
      </w:r>
      <w:r w:rsidR="00ED60A3" w:rsidRPr="00D23A1A">
        <w:rPr>
          <w:rFonts w:asciiTheme="majorHAnsi" w:hAnsiTheme="majorHAnsi"/>
          <w:sz w:val="22"/>
          <w:szCs w:val="22"/>
        </w:rPr>
        <w:t xml:space="preserve"> (Kuala Lumpur</w:t>
      </w:r>
      <w:r w:rsidRPr="00D23A1A">
        <w:rPr>
          <w:rFonts w:asciiTheme="majorHAnsi" w:hAnsiTheme="majorHAnsi"/>
          <w:sz w:val="22"/>
          <w:szCs w:val="22"/>
        </w:rPr>
        <w:t>, June 2012);</w:t>
      </w:r>
    </w:p>
    <w:p w14:paraId="4FC8B269" w14:textId="36F5075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“Dispute resolution and the Labour Law Amendment Bills” presented at a seminar arranged by Francois le Roux Attorneys and the LSSLU, NMMU (</w:t>
      </w:r>
      <w:r w:rsidR="00ED60A3" w:rsidRPr="00D23A1A">
        <w:rPr>
          <w:rFonts w:asciiTheme="majorHAnsi" w:hAnsiTheme="majorHAnsi"/>
          <w:sz w:val="22"/>
          <w:szCs w:val="22"/>
        </w:rPr>
        <w:t xml:space="preserve">Port Elizabeth, </w:t>
      </w:r>
      <w:r w:rsidRPr="00D23A1A">
        <w:rPr>
          <w:rFonts w:asciiTheme="majorHAnsi" w:hAnsiTheme="majorHAnsi"/>
          <w:sz w:val="22"/>
          <w:szCs w:val="22"/>
        </w:rPr>
        <w:t>June 2012);</w:t>
      </w:r>
    </w:p>
    <w:p w14:paraId="61715809" w14:textId="1179F4F1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“Misconduct outside the workplace: Lessons from the cases” presented at a series of workshops at various campuses of </w:t>
      </w:r>
      <w:r w:rsidRPr="00D23A1A">
        <w:rPr>
          <w:rFonts w:asciiTheme="majorHAnsi" w:hAnsiTheme="majorHAnsi"/>
          <w:i/>
          <w:iCs/>
          <w:sz w:val="22"/>
          <w:szCs w:val="22"/>
        </w:rPr>
        <w:t>NMMU and at the Legal Practitioners Conference</w:t>
      </w:r>
      <w:r w:rsidR="00ED60A3" w:rsidRPr="00D23A1A">
        <w:rPr>
          <w:rFonts w:asciiTheme="majorHAnsi" w:hAnsiTheme="majorHAnsi"/>
          <w:sz w:val="22"/>
          <w:szCs w:val="22"/>
        </w:rPr>
        <w:t xml:space="preserve"> (Port Elizabeth</w:t>
      </w:r>
      <w:r w:rsidRPr="00D23A1A">
        <w:rPr>
          <w:rFonts w:asciiTheme="majorHAnsi" w:hAnsiTheme="majorHAnsi"/>
          <w:sz w:val="22"/>
          <w:szCs w:val="22"/>
        </w:rPr>
        <w:t>, March 2012);</w:t>
      </w:r>
    </w:p>
    <w:p w14:paraId="544B2EB4" w14:textId="09FC107A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“Return-to-work and Disability Management in the Developing World: Developments in South Africa and Malaysia” co-authored but presented by Prof M Olivier at the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 Labour and Employment Relations Association Conference</w:t>
      </w:r>
      <w:r w:rsidR="00ED60A3" w:rsidRPr="00D23A1A">
        <w:rPr>
          <w:rFonts w:asciiTheme="majorHAnsi" w:hAnsiTheme="majorHAnsi"/>
          <w:sz w:val="22"/>
          <w:szCs w:val="22"/>
        </w:rPr>
        <w:t xml:space="preserve"> (Philadelphia</w:t>
      </w:r>
      <w:r w:rsidRPr="00D23A1A">
        <w:rPr>
          <w:rFonts w:asciiTheme="majorHAnsi" w:hAnsiTheme="majorHAnsi"/>
          <w:sz w:val="22"/>
          <w:szCs w:val="22"/>
        </w:rPr>
        <w:t>, 2-5 July 2012);</w:t>
      </w:r>
    </w:p>
    <w:p w14:paraId="634B9CA2" w14:textId="6BEBB3DA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“Dealing with jurisdiction and certificates of outcome” presented by invitation at a CCMA / NMMU Labour</w:t>
      </w:r>
      <w:r w:rsidR="00ED60A3" w:rsidRPr="00D23A1A">
        <w:rPr>
          <w:rFonts w:asciiTheme="majorHAnsi" w:hAnsiTheme="majorHAnsi"/>
          <w:sz w:val="22"/>
          <w:szCs w:val="22"/>
        </w:rPr>
        <w:t xml:space="preserve"> Law Seminar (Port Elizabeth</w:t>
      </w:r>
      <w:r w:rsidRPr="00D23A1A">
        <w:rPr>
          <w:rFonts w:asciiTheme="majorHAnsi" w:hAnsiTheme="majorHAnsi"/>
          <w:sz w:val="22"/>
          <w:szCs w:val="22"/>
        </w:rPr>
        <w:t>, 17 February 2012);</w:t>
      </w:r>
    </w:p>
    <w:p w14:paraId="66C4EC9C" w14:textId="5AC65B1A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adjudication of socio-economic rights by the Constitutional Court of South Africa: Walking the tightrope between activism and deference?”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First National Law School of India Review Annual Public Law Symposium on the Adjudication of Socio-Economic Rights by the Indian Supreme Court</w:t>
      </w:r>
      <w:r w:rsidR="00ED60A3" w:rsidRPr="00D23A1A">
        <w:rPr>
          <w:rFonts w:asciiTheme="majorHAnsi" w:hAnsiTheme="majorHAnsi"/>
          <w:sz w:val="22"/>
          <w:szCs w:val="22"/>
        </w:rPr>
        <w:t xml:space="preserve"> (Bangalore</w:t>
      </w:r>
      <w:r w:rsidRPr="00D23A1A">
        <w:rPr>
          <w:rFonts w:asciiTheme="majorHAnsi" w:hAnsiTheme="majorHAnsi"/>
          <w:sz w:val="22"/>
          <w:szCs w:val="22"/>
        </w:rPr>
        <w:t>, 10 December 2011);</w:t>
      </w:r>
    </w:p>
    <w:p w14:paraId="2BB5FCE2" w14:textId="41D648B0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“The role of international and regional standards in the development of an appropriate rehabilitation, re-integration and return-to-work policy framework for South Africa”, co-</w:t>
      </w:r>
      <w:r w:rsidRPr="00D23A1A">
        <w:rPr>
          <w:rFonts w:asciiTheme="majorHAnsi" w:hAnsiTheme="majorHAnsi"/>
          <w:sz w:val="22"/>
          <w:szCs w:val="22"/>
        </w:rPr>
        <w:lastRenderedPageBreak/>
        <w:t xml:space="preserve">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 Conference on the Interaction between</w:t>
      </w:r>
      <w:r w:rsidRPr="00D23A1A">
        <w:rPr>
          <w:rFonts w:asciiTheme="majorHAnsi" w:hAnsiTheme="majorHAnsi"/>
          <w:sz w:val="22"/>
          <w:szCs w:val="22"/>
        </w:rPr>
        <w:t xml:space="preserve">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International, Regional and National Labour Law and Social Security: Standards and Methods”</w:t>
      </w:r>
      <w:r w:rsidR="00ED60A3" w:rsidRPr="00D23A1A">
        <w:rPr>
          <w:rFonts w:asciiTheme="majorHAnsi" w:hAnsiTheme="majorHAnsi"/>
          <w:sz w:val="22"/>
          <w:szCs w:val="22"/>
        </w:rPr>
        <w:t xml:space="preserve"> (Stellenbosch</w:t>
      </w:r>
      <w:r w:rsidRPr="00D23A1A">
        <w:rPr>
          <w:rFonts w:asciiTheme="majorHAnsi" w:hAnsiTheme="majorHAnsi"/>
          <w:sz w:val="22"/>
          <w:szCs w:val="22"/>
        </w:rPr>
        <w:t>, 13-14 October 2011);</w:t>
      </w:r>
    </w:p>
    <w:p w14:paraId="7FB32644" w14:textId="4533F888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“Reforming the South African social security adjudication system: The role and impact of international and regional standards”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 Conference on the Interaction between</w:t>
      </w:r>
      <w:r w:rsidRPr="00D23A1A">
        <w:rPr>
          <w:rFonts w:asciiTheme="majorHAnsi" w:hAnsiTheme="majorHAnsi"/>
          <w:sz w:val="22"/>
          <w:szCs w:val="22"/>
        </w:rPr>
        <w:t xml:space="preserve">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International, Regional and National Labour Law and Social Security: Standards and Methods”</w:t>
      </w:r>
      <w:r w:rsidR="00ED60A3" w:rsidRPr="00D23A1A">
        <w:rPr>
          <w:rFonts w:asciiTheme="majorHAnsi" w:hAnsiTheme="majorHAnsi"/>
          <w:sz w:val="22"/>
          <w:szCs w:val="22"/>
        </w:rPr>
        <w:t xml:space="preserve"> (Stellenbosch</w:t>
      </w:r>
      <w:r w:rsidRPr="00D23A1A">
        <w:rPr>
          <w:rFonts w:asciiTheme="majorHAnsi" w:hAnsiTheme="majorHAnsi"/>
          <w:sz w:val="22"/>
          <w:szCs w:val="22"/>
        </w:rPr>
        <w:t>, 13-14 October 2011);</w:t>
      </w:r>
    </w:p>
    <w:p w14:paraId="16CFF970" w14:textId="2137E4E8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“Complexities of understanding and applying employment equity: the challenge for universities”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CANRAD’s Difficult Dialogue</w:t>
      </w:r>
      <w:r w:rsidR="00ED60A3" w:rsidRPr="00D23A1A">
        <w:rPr>
          <w:rFonts w:asciiTheme="majorHAnsi" w:hAnsiTheme="majorHAnsi"/>
          <w:sz w:val="22"/>
          <w:szCs w:val="22"/>
        </w:rPr>
        <w:t xml:space="preserve"> debate (Port Elizabeth</w:t>
      </w:r>
      <w:r w:rsidRPr="00D23A1A">
        <w:rPr>
          <w:rFonts w:asciiTheme="majorHAnsi" w:hAnsiTheme="majorHAnsi"/>
          <w:sz w:val="22"/>
          <w:szCs w:val="22"/>
        </w:rPr>
        <w:t>, 19 September 2011);</w:t>
      </w:r>
    </w:p>
    <w:p w14:paraId="43A1058B" w14:textId="2B13BB59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Constitutional Court on essential services” co-presented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Aspects of collective labour law and constructive dismissal: Problems and Puzzles</w:t>
      </w:r>
      <w:r w:rsidR="00ED60A3" w:rsidRPr="00D23A1A">
        <w:rPr>
          <w:rFonts w:asciiTheme="majorHAnsi" w:hAnsiTheme="majorHAnsi"/>
          <w:sz w:val="22"/>
          <w:szCs w:val="22"/>
        </w:rPr>
        <w:t xml:space="preserve"> Seminar (Port Elizabeth</w:t>
      </w:r>
      <w:r w:rsidRPr="00D23A1A">
        <w:rPr>
          <w:rFonts w:asciiTheme="majorHAnsi" w:hAnsiTheme="majorHAnsi"/>
          <w:sz w:val="22"/>
          <w:szCs w:val="22"/>
        </w:rPr>
        <w:t>, 22 July 2011);</w:t>
      </w:r>
    </w:p>
    <w:p w14:paraId="135E86C2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“Can law change anything without organisation?”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Labour at the crossroads: Inequality at the workplace workshop</w:t>
      </w:r>
      <w:r w:rsidRPr="00D23A1A">
        <w:rPr>
          <w:rFonts w:asciiTheme="majorHAnsi" w:hAnsiTheme="majorHAnsi"/>
          <w:sz w:val="22"/>
          <w:szCs w:val="22"/>
        </w:rPr>
        <w:t xml:space="preserve"> (Graduate School of Business, UCT, South Africa, 4-5 July 2011);</w:t>
      </w:r>
    </w:p>
    <w:p w14:paraId="2C646B1D" w14:textId="3D77C159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“Unemployment security as a framework for poverty alleviation”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Law and Poverty Colloquium</w:t>
      </w:r>
      <w:r w:rsidR="00ED60A3" w:rsidRPr="00D23A1A">
        <w:rPr>
          <w:rFonts w:asciiTheme="majorHAnsi" w:hAnsiTheme="majorHAnsi"/>
          <w:sz w:val="22"/>
          <w:szCs w:val="22"/>
        </w:rPr>
        <w:t xml:space="preserve"> (Stellenbosch</w:t>
      </w:r>
      <w:r w:rsidRPr="00D23A1A">
        <w:rPr>
          <w:rFonts w:asciiTheme="majorHAnsi" w:hAnsiTheme="majorHAnsi"/>
          <w:sz w:val="22"/>
          <w:szCs w:val="22"/>
        </w:rPr>
        <w:t>, 29-31 May 2011);</w:t>
      </w:r>
    </w:p>
    <w:p w14:paraId="236DF893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Employment Services Bill”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Winds of Change: The 2011 Labour Law Amendments</w:t>
      </w:r>
      <w:r w:rsidRPr="00D23A1A">
        <w:rPr>
          <w:rFonts w:asciiTheme="majorHAnsi" w:hAnsiTheme="majorHAnsi"/>
          <w:sz w:val="22"/>
          <w:szCs w:val="22"/>
        </w:rPr>
        <w:t xml:space="preserve"> Seminar (NMMU, South Africa, 4 February 2011) and at an ABSA Bank Corporate Managers seminar ( 8 March 2011);</w:t>
      </w:r>
    </w:p>
    <w:p w14:paraId="4CE5EC5A" w14:textId="033D1705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“International labour standards applicable to labour law and social security: Perspectives from the South African Constitution”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 Workshop on the Relevance of International Standards for Labour Law and Social Security</w:t>
      </w:r>
      <w:r w:rsidR="00ED60A3" w:rsidRPr="00D23A1A">
        <w:rPr>
          <w:rFonts w:asciiTheme="majorHAnsi" w:hAnsiTheme="majorHAnsi"/>
          <w:sz w:val="22"/>
          <w:szCs w:val="22"/>
        </w:rPr>
        <w:t xml:space="preserve"> (Stellenbosch</w:t>
      </w:r>
      <w:r w:rsidRPr="00D23A1A">
        <w:rPr>
          <w:rFonts w:asciiTheme="majorHAnsi" w:hAnsiTheme="majorHAnsi"/>
          <w:sz w:val="22"/>
          <w:szCs w:val="22"/>
        </w:rPr>
        <w:t>, 6-8 October 2010);</w:t>
      </w:r>
    </w:p>
    <w:p w14:paraId="2BA92771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role of inter-governmental organizations in enhancing social protection in times of instability: Lessons from SADC” co-authored but presented by Prof MP Olivier at the </w:t>
      </w:r>
      <w:r w:rsidRPr="00D23A1A">
        <w:rPr>
          <w:rFonts w:asciiTheme="majorHAnsi" w:hAnsiTheme="majorHAnsi"/>
          <w:i/>
          <w:iCs/>
          <w:sz w:val="22"/>
          <w:szCs w:val="22"/>
        </w:rPr>
        <w:t>ISSA International Policy and Research Conference on Social Security Emerging Trends in Times of Instability</w:t>
      </w:r>
      <w:r w:rsidRPr="00D23A1A">
        <w:rPr>
          <w:rFonts w:asciiTheme="majorHAnsi" w:hAnsiTheme="majorHAnsi"/>
          <w:sz w:val="22"/>
          <w:szCs w:val="22"/>
        </w:rPr>
        <w:t xml:space="preserve"> (Luxembourg, 29 September – 1 October 2010);</w:t>
      </w:r>
    </w:p>
    <w:p w14:paraId="135ADF5D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“Assisting the unemployed in the absence of a legal framework: The next frontier for the Eastern Cape Bench?” presented by invitation at </w:t>
      </w:r>
      <w:r w:rsidRPr="00D23A1A">
        <w:rPr>
          <w:rFonts w:asciiTheme="majorHAnsi" w:hAnsiTheme="majorHAnsi"/>
          <w:i/>
          <w:iCs/>
          <w:sz w:val="22"/>
          <w:szCs w:val="22"/>
        </w:rPr>
        <w:t>The Eastern Cape Bench and Social Justice</w:t>
      </w:r>
      <w:r w:rsidRPr="00D23A1A">
        <w:rPr>
          <w:rFonts w:asciiTheme="majorHAnsi" w:hAnsiTheme="majorHAnsi"/>
          <w:sz w:val="22"/>
          <w:szCs w:val="22"/>
        </w:rPr>
        <w:t xml:space="preserve"> Conference (Rhodes University, South Africa, 1-3 September 2010);</w:t>
      </w:r>
    </w:p>
    <w:p w14:paraId="2037A6F0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“King III – A shot in the arm for ADR” presented by invitation at a </w:t>
      </w:r>
      <w:r w:rsidRPr="00D23A1A">
        <w:rPr>
          <w:rFonts w:asciiTheme="majorHAnsi" w:hAnsiTheme="majorHAnsi"/>
          <w:i/>
          <w:iCs/>
          <w:sz w:val="22"/>
          <w:szCs w:val="22"/>
        </w:rPr>
        <w:t>Tokiso Panellist’s Talkshop</w:t>
      </w:r>
      <w:r w:rsidRPr="00D23A1A">
        <w:rPr>
          <w:rFonts w:asciiTheme="majorHAnsi" w:hAnsiTheme="majorHAnsi"/>
          <w:sz w:val="22"/>
          <w:szCs w:val="22"/>
        </w:rPr>
        <w:t xml:space="preserve"> (Port Elizabeth, South Africa, 19 August 2010);</w:t>
      </w:r>
    </w:p>
    <w:p w14:paraId="120C08DA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“Dealing with jurisdictional issues at the CCMA”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Current Issues in Labour Dispute Resolution at the CCMA and Bargaining Councils Serminar</w:t>
      </w:r>
      <w:r w:rsidRPr="00D23A1A">
        <w:rPr>
          <w:rFonts w:asciiTheme="majorHAnsi" w:hAnsiTheme="majorHAnsi"/>
          <w:sz w:val="22"/>
          <w:szCs w:val="22"/>
        </w:rPr>
        <w:t xml:space="preserve"> (Port Elizabeth, South Africa, 12 August 2010);</w:t>
      </w:r>
    </w:p>
    <w:p w14:paraId="72BC477E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“Resolving disputes in the South African workplace” presented by invitation to the Labour Law Practitioners Association, Pune, India (1 April 2010);</w:t>
      </w:r>
    </w:p>
    <w:p w14:paraId="3C0FA4BC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“A question of interpretation: a comparative study of (‘unenumerated’) rights recognition”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4th Remembering SP Sathe Conference</w:t>
      </w:r>
      <w:r w:rsidRPr="00D23A1A">
        <w:rPr>
          <w:rFonts w:asciiTheme="majorHAnsi" w:hAnsiTheme="majorHAnsi"/>
          <w:sz w:val="22"/>
          <w:szCs w:val="22"/>
        </w:rPr>
        <w:t xml:space="preserve"> (Pune, India, February 2010);</w:t>
      </w:r>
    </w:p>
    <w:p w14:paraId="3F2F92CB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“Social protection for workers posted to and from South Africa: A critical assessment” co-authored but presented by Prof LG Mpedi at the </w:t>
      </w:r>
      <w:r w:rsidRPr="00D23A1A">
        <w:rPr>
          <w:rFonts w:asciiTheme="majorHAnsi" w:hAnsiTheme="majorHAnsi"/>
          <w:i/>
          <w:iCs/>
          <w:sz w:val="22"/>
          <w:szCs w:val="22"/>
        </w:rPr>
        <w:t>Society of Law Teachers of Southern Africa Conference</w:t>
      </w:r>
      <w:r w:rsidRPr="00D23A1A">
        <w:rPr>
          <w:rFonts w:asciiTheme="majorHAnsi" w:hAnsiTheme="majorHAnsi"/>
          <w:sz w:val="22"/>
          <w:szCs w:val="22"/>
        </w:rPr>
        <w:t xml:space="preserve"> (Pietermaritzburg, South Africa, 13 – 16 July 2009);</w:t>
      </w:r>
    </w:p>
    <w:p w14:paraId="1F1F4F10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lastRenderedPageBreak/>
        <w:t xml:space="preserve">“The role of courts in shaping South African social policy”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Southern Africa’s Development Agenda in the 21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st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Century Colloquium</w:t>
      </w:r>
      <w:r w:rsidRPr="00D23A1A">
        <w:rPr>
          <w:rFonts w:asciiTheme="majorHAnsi" w:hAnsiTheme="majorHAnsi"/>
          <w:sz w:val="22"/>
          <w:szCs w:val="22"/>
        </w:rPr>
        <w:t xml:space="preserve"> (University of Fort Hare, Bhisho, South Africa, 14-15 May 2009);</w:t>
      </w:r>
    </w:p>
    <w:p w14:paraId="0F28E013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“CCMA arbitrations: Do’s and don’ts” panellist at the </w:t>
      </w:r>
      <w:r w:rsidRPr="00D23A1A">
        <w:rPr>
          <w:rFonts w:asciiTheme="majorHAnsi" w:hAnsiTheme="majorHAnsi"/>
          <w:i/>
          <w:iCs/>
          <w:sz w:val="22"/>
          <w:szCs w:val="22"/>
        </w:rPr>
        <w:t>Annual Labour Law Seminar</w:t>
      </w:r>
      <w:r w:rsidRPr="00D23A1A">
        <w:rPr>
          <w:rFonts w:asciiTheme="majorHAnsi" w:hAnsiTheme="majorHAnsi"/>
          <w:sz w:val="22"/>
          <w:szCs w:val="22"/>
        </w:rPr>
        <w:t xml:space="preserve"> (NMMU, Port Elizabeth, South Africa, 18 March 2009);</w:t>
      </w:r>
    </w:p>
    <w:p w14:paraId="2E28E26A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role of inter-governmental organizations in developing an integrated and inclusive framework for social protection: Lessons from SADC”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Redefining South-South Co-operation: Africa on the Centre Stage</w:t>
      </w:r>
      <w:r w:rsidRPr="00D23A1A">
        <w:rPr>
          <w:rFonts w:asciiTheme="majorHAnsi" w:hAnsiTheme="majorHAnsi"/>
          <w:sz w:val="22"/>
          <w:szCs w:val="22"/>
        </w:rPr>
        <w:t xml:space="preserve"> conference (Centre for African Studies, University of Mumbai, India 23 – 25 February 2009);</w:t>
      </w:r>
    </w:p>
    <w:p w14:paraId="7182C81C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state of the Labour Court: What was intended, where are we now and what might be done”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Universities of the Western and Eastern Cape Sixth Annual Law Conference</w:t>
      </w:r>
      <w:r w:rsidRPr="00D23A1A">
        <w:rPr>
          <w:rFonts w:asciiTheme="majorHAnsi" w:hAnsiTheme="majorHAnsi"/>
          <w:sz w:val="22"/>
          <w:szCs w:val="22"/>
        </w:rPr>
        <w:t xml:space="preserve"> (NMMU, South Africa, January 2009);</w:t>
      </w:r>
    </w:p>
    <w:p w14:paraId="4143BE93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“Legal aspects in occupational health”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Higher Education Conference on Occupational Health</w:t>
      </w:r>
      <w:r w:rsidRPr="00D23A1A">
        <w:rPr>
          <w:rFonts w:asciiTheme="majorHAnsi" w:hAnsiTheme="majorHAnsi"/>
          <w:sz w:val="22"/>
          <w:szCs w:val="22"/>
        </w:rPr>
        <w:t xml:space="preserve"> (NMMU, South Africa, 1-3 October 2008);</w:t>
      </w:r>
    </w:p>
    <w:p w14:paraId="5EF2F686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“Simply not the best: The extent and application of affirmative action measures at two Eastern Cape Universities”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Equality in the Workplace Conference: Reflections from South Africa and Elsewhere </w:t>
      </w:r>
      <w:r w:rsidRPr="00D23A1A">
        <w:rPr>
          <w:rFonts w:asciiTheme="majorHAnsi" w:hAnsiTheme="majorHAnsi"/>
          <w:sz w:val="22"/>
          <w:szCs w:val="22"/>
        </w:rPr>
        <w:t>(STIAS, Stellenbosch, South Africa, 10 – 12 September 2008);</w:t>
      </w:r>
    </w:p>
    <w:p w14:paraId="29E86CD1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“Introducing law to commerce students: A case study at Nelson Mandela Metropolitan University”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1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st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Southern African Conference on the First Year Experience</w:t>
      </w:r>
      <w:r w:rsidRPr="00D23A1A">
        <w:rPr>
          <w:rFonts w:asciiTheme="majorHAnsi" w:hAnsiTheme="majorHAnsi"/>
          <w:sz w:val="22"/>
          <w:szCs w:val="22"/>
        </w:rPr>
        <w:t xml:space="preserve"> (Stellenbosch University, South Africa, 8 – 10 September 2008);</w:t>
      </w:r>
    </w:p>
    <w:p w14:paraId="54A3443F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“Applying the equity legislation to higher education institutions”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ISER / Rhodes University Seminar Series</w:t>
      </w:r>
      <w:r w:rsidRPr="00D23A1A">
        <w:rPr>
          <w:rFonts w:asciiTheme="majorHAnsi" w:hAnsiTheme="majorHAnsi"/>
          <w:sz w:val="22"/>
          <w:szCs w:val="22"/>
        </w:rPr>
        <w:t xml:space="preserve"> (Grahamstown, South Africa, 21 April 2008);</w:t>
      </w:r>
    </w:p>
    <w:p w14:paraId="167E192E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“Compensation for occupational injuries in the Karnataka construction industry: Translating rights into reality”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8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International Work Congress on Work Injury Prevention, Rehabilitation and Compensation</w:t>
      </w:r>
      <w:r w:rsidRPr="00D23A1A">
        <w:rPr>
          <w:rFonts w:asciiTheme="majorHAnsi" w:hAnsiTheme="majorHAnsi"/>
          <w:sz w:val="22"/>
          <w:szCs w:val="22"/>
        </w:rPr>
        <w:t xml:space="preserve"> (Durban, South Africa, 31 March – 2 April 2008);</w:t>
      </w:r>
    </w:p>
    <w:p w14:paraId="7E98A996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state of labour law in South Africa”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Society of Law Teachers of Southern Africa Conference</w:t>
      </w:r>
      <w:r w:rsidRPr="00D23A1A">
        <w:rPr>
          <w:rFonts w:asciiTheme="majorHAnsi" w:hAnsiTheme="majorHAnsi"/>
          <w:sz w:val="22"/>
          <w:szCs w:val="22"/>
        </w:rPr>
        <w:t xml:space="preserve"> (Pretoria, South Africa, 21 – 24 January 2008);</w:t>
      </w:r>
    </w:p>
    <w:p w14:paraId="41AEE251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“A legal analysis of employment in terms of public works programmes in South Africa” co-presented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20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Annual Labour Law Conference</w:t>
      </w:r>
      <w:r w:rsidRPr="00D23A1A">
        <w:rPr>
          <w:rFonts w:asciiTheme="majorHAnsi" w:hAnsiTheme="majorHAnsi"/>
          <w:sz w:val="22"/>
          <w:szCs w:val="22"/>
        </w:rPr>
        <w:t xml:space="preserve"> (co-organized by the Centre for Applied Legal Studies, the Institute of Development and Labour Law and the Faculty of Law, UKZN, Sandton Convention Centre, Johannesburg, South Africa, 4-6 July 2007);</w:t>
      </w:r>
    </w:p>
    <w:p w14:paraId="6D2D1CF5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i/>
          <w:iCs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“Structural adjustment and unemployment:  The quest for appropriate social protection interventions”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International Industrial Relations Association Asian Regional Congress</w:t>
      </w:r>
      <w:r w:rsidRPr="00D23A1A">
        <w:rPr>
          <w:rFonts w:asciiTheme="majorHAnsi" w:hAnsiTheme="majorHAnsi"/>
          <w:sz w:val="22"/>
          <w:szCs w:val="22"/>
        </w:rPr>
        <w:t xml:space="preserve"> (New Delhi, India, 19-21 April 2007);</w:t>
      </w:r>
    </w:p>
    <w:p w14:paraId="76BCD38B" w14:textId="77777777" w:rsidR="00EC60CA" w:rsidRPr="00D23A1A" w:rsidRDefault="007804F4" w:rsidP="00D23A1A">
      <w:pPr>
        <w:widowControl w:val="0"/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“Indian social rights and jurisprudence” 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Innovative Approaches to Social Security in India, Brazil and South Africa</w:t>
      </w:r>
      <w:r w:rsidRPr="00D23A1A">
        <w:rPr>
          <w:rFonts w:asciiTheme="majorHAnsi" w:hAnsiTheme="majorHAnsi"/>
          <w:sz w:val="22"/>
          <w:szCs w:val="22"/>
        </w:rPr>
        <w:t xml:space="preserve"> </w:t>
      </w:r>
      <w:r w:rsidRPr="00D23A1A">
        <w:rPr>
          <w:rFonts w:asciiTheme="majorHAnsi" w:hAnsiTheme="majorHAnsi"/>
          <w:i/>
          <w:iCs/>
          <w:sz w:val="22"/>
          <w:szCs w:val="22"/>
        </w:rPr>
        <w:t>Conference</w:t>
      </w:r>
      <w:r w:rsidRPr="00D23A1A">
        <w:rPr>
          <w:rFonts w:asciiTheme="majorHAnsi" w:hAnsiTheme="majorHAnsi"/>
          <w:sz w:val="22"/>
          <w:szCs w:val="22"/>
        </w:rPr>
        <w:t xml:space="preserve"> (co-organised by the Friedrich Ebert Stiftung and Centre for International and Comparative Labour and Social Security Law, University of Johannesburg Soweto Campus, South Africa, March 2007);</w:t>
      </w:r>
    </w:p>
    <w:p w14:paraId="450C751B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bookmarkStart w:id="1" w:name="OLE_LINK1"/>
      <w:r w:rsidRPr="00D23A1A">
        <w:rPr>
          <w:rFonts w:asciiTheme="majorHAnsi" w:hAnsiTheme="majorHAnsi"/>
          <w:sz w:val="22"/>
          <w:szCs w:val="22"/>
        </w:rPr>
        <w:t xml:space="preserve">“Beards, nose studs and questions of religion and equality”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Universities of the Western and Eastern Cape Fourth Annual Law Conference</w:t>
      </w:r>
      <w:r w:rsidRPr="00D23A1A">
        <w:rPr>
          <w:rFonts w:asciiTheme="majorHAnsi" w:hAnsiTheme="majorHAnsi"/>
          <w:sz w:val="22"/>
          <w:szCs w:val="22"/>
        </w:rPr>
        <w:t xml:space="preserve"> (NMMU, South Africa, January 2007);</w:t>
      </w:r>
    </w:p>
    <w:bookmarkEnd w:id="1"/>
    <w:p w14:paraId="09F55F29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“Finding the boundary: the role of the judiciary in giving effect to socio-economic rights in South Africa” co-presented by invitation at the </w:t>
      </w:r>
      <w:r w:rsidRPr="00D23A1A">
        <w:rPr>
          <w:rFonts w:asciiTheme="majorHAnsi" w:hAnsiTheme="majorHAnsi"/>
          <w:i/>
          <w:iCs/>
          <w:sz w:val="22"/>
          <w:szCs w:val="22"/>
        </w:rPr>
        <w:t>Conference on Law and Transformative Justice in Post-Apartheid South Africa</w:t>
      </w:r>
      <w:r w:rsidRPr="00D23A1A">
        <w:rPr>
          <w:rFonts w:asciiTheme="majorHAnsi" w:hAnsiTheme="majorHAnsi"/>
          <w:sz w:val="22"/>
          <w:szCs w:val="22"/>
        </w:rPr>
        <w:t xml:space="preserve"> (Fort Hare University, South Africa, October 2006);</w:t>
      </w:r>
    </w:p>
    <w:p w14:paraId="25504CE9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lastRenderedPageBreak/>
        <w:t xml:space="preserve">“Micro-insurance in South Africa”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Universities of the Western and Eastern Cape Third Annual Law Conference</w:t>
      </w:r>
      <w:r w:rsidRPr="00D23A1A">
        <w:rPr>
          <w:rFonts w:asciiTheme="majorHAnsi" w:hAnsiTheme="majorHAnsi"/>
          <w:sz w:val="22"/>
          <w:szCs w:val="22"/>
        </w:rPr>
        <w:t xml:space="preserve"> (Nelson Mandela Metropolitan University, South Africa, January 2006);</w:t>
      </w:r>
    </w:p>
    <w:p w14:paraId="14A35625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“Extending unemployment protection to the excluded and vulnerable:  Perspectives on developments in South Africa”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Second Global Labour Forum</w:t>
      </w:r>
      <w:r w:rsidRPr="00D23A1A">
        <w:rPr>
          <w:rFonts w:asciiTheme="majorHAnsi" w:hAnsiTheme="majorHAnsi"/>
          <w:sz w:val="22"/>
          <w:szCs w:val="22"/>
        </w:rPr>
        <w:t xml:space="preserve"> (New Delhi, India, 13-14 December 2005);</w:t>
      </w:r>
    </w:p>
    <w:p w14:paraId="592C9891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effect of the Expanded Public Works Programme in the Eastern Cape Province of South Africa” co-presented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4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African Regional Congress of the International Industrial Relations Association</w:t>
      </w:r>
      <w:r w:rsidRPr="00D23A1A">
        <w:rPr>
          <w:rFonts w:asciiTheme="majorHAnsi" w:hAnsiTheme="majorHAnsi"/>
          <w:sz w:val="22"/>
          <w:szCs w:val="22"/>
        </w:rPr>
        <w:t xml:space="preserve"> (Mauritius, 28-30 November 2005);</w:t>
      </w:r>
    </w:p>
    <w:p w14:paraId="1EE5C553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“Unfair dismissal and unfair discrimination based on age” presented at a Labour Law Seminar (NMMU, South Africa, April 2005);</w:t>
      </w:r>
    </w:p>
    <w:p w14:paraId="6FCFC20A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“The constitutional right to social assistance as a framework for social policy in South Africa:  Lessons from India” presented as part of the Seminar Series of the Jawaharlal Nehru University’s Centre for the Study of Law and Governance (New Delhi, India, March 2005);</w:t>
      </w:r>
    </w:p>
    <w:p w14:paraId="1053DF04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“South Africa’s public works programmes in comparison with employment creation mechanisms in India’s Five Year Plans”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Law and Poverty VI Conference</w:t>
      </w:r>
      <w:r w:rsidRPr="00D23A1A">
        <w:rPr>
          <w:rFonts w:asciiTheme="majorHAnsi" w:hAnsiTheme="majorHAnsi"/>
          <w:sz w:val="22"/>
          <w:szCs w:val="22"/>
        </w:rPr>
        <w:t xml:space="preserve"> (University of Johannesburg, South Africa, January 2005);</w:t>
      </w:r>
    </w:p>
    <w:p w14:paraId="7C9F46C9" w14:textId="77777777" w:rsidR="00EC60CA" w:rsidRPr="00D23A1A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 xml:space="preserve">“The role of co-operation schemes in the development of regional employment and better work places:  The Coega Project” presented at the </w:t>
      </w:r>
      <w:r w:rsidRPr="00D23A1A">
        <w:rPr>
          <w:rFonts w:asciiTheme="majorHAnsi" w:hAnsiTheme="majorHAnsi"/>
          <w:i/>
          <w:iCs/>
          <w:sz w:val="22"/>
          <w:szCs w:val="22"/>
        </w:rPr>
        <w:t>4</w:t>
      </w:r>
      <w:r w:rsidRPr="00D23A1A">
        <w:rPr>
          <w:rFonts w:asciiTheme="majorHAnsi" w:hAnsiTheme="majorHAnsi"/>
          <w:i/>
          <w:iCs/>
          <w:sz w:val="22"/>
          <w:szCs w:val="22"/>
          <w:vertAlign w:val="superscript"/>
        </w:rPr>
        <w:t>th</w:t>
      </w:r>
      <w:r w:rsidRPr="00D23A1A">
        <w:rPr>
          <w:rFonts w:asciiTheme="majorHAnsi" w:hAnsiTheme="majorHAnsi"/>
          <w:i/>
          <w:iCs/>
          <w:sz w:val="22"/>
          <w:szCs w:val="22"/>
        </w:rPr>
        <w:t xml:space="preserve"> International Congress for the Regional and Local Development of Work and Labour</w:t>
      </w:r>
      <w:r w:rsidRPr="00D23A1A">
        <w:rPr>
          <w:rFonts w:asciiTheme="majorHAnsi" w:hAnsiTheme="majorHAnsi"/>
          <w:sz w:val="22"/>
          <w:szCs w:val="22"/>
        </w:rPr>
        <w:t xml:space="preserve"> (Durban, South Africa, 25-29 February 2004);</w:t>
      </w:r>
    </w:p>
    <w:p w14:paraId="056B7EEA" w14:textId="77777777" w:rsidR="00EC60CA" w:rsidRPr="009C1C55" w:rsidRDefault="007804F4" w:rsidP="00D23A1A">
      <w:pPr>
        <w:numPr>
          <w:ilvl w:val="0"/>
          <w:numId w:val="9"/>
        </w:numPr>
        <w:tabs>
          <w:tab w:val="clear" w:pos="360"/>
          <w:tab w:val="num" w:pos="393"/>
        </w:tabs>
        <w:spacing w:line="276" w:lineRule="auto"/>
        <w:ind w:left="393" w:hanging="393"/>
        <w:jc w:val="both"/>
        <w:rPr>
          <w:rFonts w:asciiTheme="majorHAnsi" w:eastAsia="Trebuchet MS" w:hAnsiTheme="majorHAnsi" w:cs="Trebuchet MS"/>
          <w:sz w:val="22"/>
          <w:szCs w:val="22"/>
        </w:rPr>
      </w:pPr>
      <w:r w:rsidRPr="00D23A1A">
        <w:rPr>
          <w:rFonts w:asciiTheme="majorHAnsi" w:hAnsiTheme="majorHAnsi"/>
          <w:sz w:val="22"/>
          <w:szCs w:val="22"/>
        </w:rPr>
        <w:t>“Independent contractual relationships and labour brokers” presented at a Labour Law Seminar (University of Port Elizabeth, South Africa, June 2003).</w:t>
      </w:r>
    </w:p>
    <w:p w14:paraId="35BABC4E" w14:textId="77777777" w:rsidR="009C1C55" w:rsidRDefault="009C1C55" w:rsidP="009C1C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7D6DBA5" w14:textId="0849213A" w:rsidR="009C1C55" w:rsidRDefault="009C1C55" w:rsidP="009C1C55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Impact in the media</w:t>
      </w:r>
    </w:p>
    <w:p w14:paraId="68B52494" w14:textId="77777777" w:rsidR="009C1C55" w:rsidRDefault="009C1C55" w:rsidP="009C1C55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788C7147" w14:textId="4F735FBA" w:rsidR="009C1C55" w:rsidRPr="009C1C55" w:rsidRDefault="009C1C55" w:rsidP="009C1C55">
      <w:pPr>
        <w:pStyle w:val="ListParagraph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eastAsia="Trebuchet MS" w:hAnsiTheme="majorHAnsi" w:cs="Trebuchet MS"/>
          <w:sz w:val="22"/>
          <w:szCs w:val="22"/>
        </w:rPr>
      </w:pPr>
      <w:r>
        <w:rPr>
          <w:rFonts w:asciiTheme="majorHAnsi" w:eastAsia="Trebuchet MS" w:hAnsiTheme="majorHAnsi" w:cs="Trebuchet MS"/>
          <w:sz w:val="22"/>
          <w:szCs w:val="22"/>
        </w:rPr>
        <w:t xml:space="preserve">S Evans “A legislative approach to tackling unemployment” </w:t>
      </w:r>
      <w:r>
        <w:rPr>
          <w:rFonts w:asciiTheme="majorHAnsi" w:eastAsia="Trebuchet MS" w:hAnsiTheme="majorHAnsi" w:cs="Trebuchet MS"/>
          <w:i/>
          <w:sz w:val="22"/>
          <w:szCs w:val="22"/>
        </w:rPr>
        <w:t>Mail &amp; Guardian</w:t>
      </w:r>
      <w:r>
        <w:rPr>
          <w:rFonts w:asciiTheme="majorHAnsi" w:eastAsia="Trebuchet MS" w:hAnsiTheme="majorHAnsi" w:cs="Trebuchet MS"/>
          <w:sz w:val="22"/>
          <w:szCs w:val="22"/>
        </w:rPr>
        <w:t xml:space="preserve"> (7 August 2015);</w:t>
      </w:r>
    </w:p>
    <w:sectPr w:rsidR="009C1C55" w:rsidRPr="009C1C5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9DA2D" w14:textId="77777777" w:rsidR="00C67C69" w:rsidRDefault="00C67C69">
      <w:r>
        <w:separator/>
      </w:r>
    </w:p>
  </w:endnote>
  <w:endnote w:type="continuationSeparator" w:id="0">
    <w:p w14:paraId="53CF8D75" w14:textId="77777777" w:rsidR="00C67C69" w:rsidRDefault="00C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6BEE5" w14:textId="77777777" w:rsidR="006F182C" w:rsidRDefault="006F182C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E3D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EF9B7" w14:textId="77777777" w:rsidR="00C67C69" w:rsidRDefault="00C67C69">
      <w:r>
        <w:separator/>
      </w:r>
    </w:p>
  </w:footnote>
  <w:footnote w:type="continuationSeparator" w:id="0">
    <w:p w14:paraId="1A18C3E2" w14:textId="77777777" w:rsidR="00C67C69" w:rsidRDefault="00C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E2E9" w14:textId="77777777" w:rsidR="006F182C" w:rsidRDefault="006F182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9C3"/>
    <w:multiLevelType w:val="multilevel"/>
    <w:tmpl w:val="D5047D6C"/>
    <w:styleLink w:val="List21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1" w15:restartNumberingAfterBreak="0">
    <w:nsid w:val="09757A96"/>
    <w:multiLevelType w:val="multilevel"/>
    <w:tmpl w:val="619E89C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2" w15:restartNumberingAfterBreak="0">
    <w:nsid w:val="1811719A"/>
    <w:multiLevelType w:val="multilevel"/>
    <w:tmpl w:val="DCF67344"/>
    <w:styleLink w:val="List1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3" w15:restartNumberingAfterBreak="0">
    <w:nsid w:val="1FF541AC"/>
    <w:multiLevelType w:val="multilevel"/>
    <w:tmpl w:val="50DC96F8"/>
    <w:styleLink w:val="List0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4" w15:restartNumberingAfterBreak="0">
    <w:nsid w:val="34BE0C2F"/>
    <w:multiLevelType w:val="multilevel"/>
    <w:tmpl w:val="4B464FD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3AA464E0"/>
    <w:multiLevelType w:val="multilevel"/>
    <w:tmpl w:val="86BC50E0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C2F29C9"/>
    <w:multiLevelType w:val="multilevel"/>
    <w:tmpl w:val="8902B8B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3EE21948"/>
    <w:multiLevelType w:val="hybridMultilevel"/>
    <w:tmpl w:val="103C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15B3"/>
    <w:multiLevelType w:val="multilevel"/>
    <w:tmpl w:val="33E2D18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9" w15:restartNumberingAfterBreak="0">
    <w:nsid w:val="5FA62514"/>
    <w:multiLevelType w:val="multilevel"/>
    <w:tmpl w:val="6BBA27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A"/>
    <w:rsid w:val="00023E23"/>
    <w:rsid w:val="00043B08"/>
    <w:rsid w:val="000618AD"/>
    <w:rsid w:val="00091E04"/>
    <w:rsid w:val="000A1A08"/>
    <w:rsid w:val="000B2536"/>
    <w:rsid w:val="00103971"/>
    <w:rsid w:val="00121209"/>
    <w:rsid w:val="00137041"/>
    <w:rsid w:val="00174A71"/>
    <w:rsid w:val="001A5D50"/>
    <w:rsid w:val="001B733D"/>
    <w:rsid w:val="001E5B4B"/>
    <w:rsid w:val="00237E42"/>
    <w:rsid w:val="00257100"/>
    <w:rsid w:val="00296005"/>
    <w:rsid w:val="002D1E25"/>
    <w:rsid w:val="002E68DD"/>
    <w:rsid w:val="00354943"/>
    <w:rsid w:val="003C09E3"/>
    <w:rsid w:val="004206EC"/>
    <w:rsid w:val="004245A1"/>
    <w:rsid w:val="004352C1"/>
    <w:rsid w:val="00481AA4"/>
    <w:rsid w:val="004938B5"/>
    <w:rsid w:val="00553023"/>
    <w:rsid w:val="005973E5"/>
    <w:rsid w:val="005B541C"/>
    <w:rsid w:val="005E3DE6"/>
    <w:rsid w:val="006245E4"/>
    <w:rsid w:val="006653DB"/>
    <w:rsid w:val="006B5BA1"/>
    <w:rsid w:val="006F182C"/>
    <w:rsid w:val="00750237"/>
    <w:rsid w:val="007804F4"/>
    <w:rsid w:val="007B008D"/>
    <w:rsid w:val="008054F5"/>
    <w:rsid w:val="00856C33"/>
    <w:rsid w:val="00924CCC"/>
    <w:rsid w:val="009C1C55"/>
    <w:rsid w:val="00AB0AEE"/>
    <w:rsid w:val="00AC1B0E"/>
    <w:rsid w:val="00AF12C6"/>
    <w:rsid w:val="00B166B8"/>
    <w:rsid w:val="00B56A13"/>
    <w:rsid w:val="00B63B57"/>
    <w:rsid w:val="00B64105"/>
    <w:rsid w:val="00B82958"/>
    <w:rsid w:val="00BC23CA"/>
    <w:rsid w:val="00C04E72"/>
    <w:rsid w:val="00C15ACF"/>
    <w:rsid w:val="00C32EA8"/>
    <w:rsid w:val="00C369F8"/>
    <w:rsid w:val="00C526B0"/>
    <w:rsid w:val="00C67C69"/>
    <w:rsid w:val="00C713EC"/>
    <w:rsid w:val="00C82ABF"/>
    <w:rsid w:val="00CE4BE2"/>
    <w:rsid w:val="00D17D8A"/>
    <w:rsid w:val="00D23A1A"/>
    <w:rsid w:val="00D57C4B"/>
    <w:rsid w:val="00DB04CB"/>
    <w:rsid w:val="00DD2427"/>
    <w:rsid w:val="00E43D74"/>
    <w:rsid w:val="00E6101B"/>
    <w:rsid w:val="00E65E44"/>
    <w:rsid w:val="00E716A3"/>
    <w:rsid w:val="00E8417F"/>
    <w:rsid w:val="00E95FC4"/>
    <w:rsid w:val="00EB793C"/>
    <w:rsid w:val="00EC60CA"/>
    <w:rsid w:val="00ED60A3"/>
    <w:rsid w:val="00ED633E"/>
    <w:rsid w:val="00F02478"/>
    <w:rsid w:val="00FC6E2E"/>
    <w:rsid w:val="00FD6581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FFFF"/>
  <w15:docId w15:val="{699A1876-F8C8-478A-B1B7-F38E35B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widowControl w:val="0"/>
      <w:spacing w:line="249" w:lineRule="auto"/>
      <w:outlineLvl w:val="0"/>
    </w:pPr>
    <w:rPr>
      <w:rFonts w:ascii="Arial Narrow Bold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basedOn w:val="Normal"/>
    <w:uiPriority w:val="34"/>
    <w:qFormat/>
    <w:rsid w:val="00D2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NMMU</Company>
  <LinksUpToDate>false</LinksUpToDate>
  <CharactersWithSpaces>27753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s1200001</dc:creator>
  <cp:lastModifiedBy>Gustav Muller</cp:lastModifiedBy>
  <cp:revision>2</cp:revision>
  <dcterms:created xsi:type="dcterms:W3CDTF">2015-10-06T08:25:00Z</dcterms:created>
  <dcterms:modified xsi:type="dcterms:W3CDTF">2015-10-06T08:25:00Z</dcterms:modified>
</cp:coreProperties>
</file>